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B7" w:rsidRPr="004C0AA9" w:rsidRDefault="00990FB7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УДК </w:t>
      </w:r>
      <w:r w:rsidR="004C0AA9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621.316.92:621.3.019. </w:t>
      </w:r>
    </w:p>
    <w:p w:rsidR="00990FB7" w:rsidRPr="004C0AA9" w:rsidRDefault="000B017F" w:rsidP="004C0AA9">
      <w:pPr>
        <w:tabs>
          <w:tab w:val="left" w:pos="108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b/>
          <w:sz w:val="24"/>
          <w:szCs w:val="24"/>
        </w:rPr>
        <w:t>СРАВНИТЕЛЬНЫЙ АНАЛИЗ АВАРИЙНОСТИ РАСПРЕДЕЛИТЕЛЬНЫХ СЕТЕЙ В УСЛОВИЯХ ОДНОФАЗНОГО ЗАМЫКАНИЯ НА ЗЕМЛЮ</w:t>
      </w:r>
    </w:p>
    <w:p w:rsidR="004C0AA9" w:rsidRPr="004C0AA9" w:rsidRDefault="004C0AA9" w:rsidP="004C0AA9">
      <w:pPr>
        <w:tabs>
          <w:tab w:val="left" w:pos="108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90FB7" w:rsidRPr="000B017F" w:rsidRDefault="00990FB7" w:rsidP="004C0AA9">
      <w:pPr>
        <w:tabs>
          <w:tab w:val="left" w:pos="1089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B017F">
        <w:rPr>
          <w:rFonts w:ascii="Times New Roman" w:eastAsiaTheme="minorEastAsia" w:hAnsi="Times New Roman" w:cs="Times New Roman"/>
          <w:b/>
          <w:sz w:val="24"/>
          <w:szCs w:val="24"/>
        </w:rPr>
        <w:t>Младзиевский Е.П., Рыжкова Е.Н.</w:t>
      </w:r>
    </w:p>
    <w:p w:rsidR="004C0AA9" w:rsidRPr="000B017F" w:rsidRDefault="004C0AA9" w:rsidP="004C0AA9">
      <w:pPr>
        <w:tabs>
          <w:tab w:val="left" w:pos="1089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B017F">
        <w:rPr>
          <w:rFonts w:ascii="Times New Roman" w:eastAsiaTheme="minorEastAsia" w:hAnsi="Times New Roman" w:cs="Times New Roman"/>
          <w:i/>
          <w:sz w:val="24"/>
          <w:szCs w:val="24"/>
        </w:rPr>
        <w:t>Москва, НИУ «МЭИ»</w:t>
      </w:r>
    </w:p>
    <w:p w:rsidR="001D62CB" w:rsidRDefault="001D62CB" w:rsidP="004C0A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0FB7" w:rsidRPr="00EE5D99" w:rsidRDefault="001D62CB" w:rsidP="004C0AA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5D99">
        <w:rPr>
          <w:rFonts w:ascii="Times New Roman" w:hAnsi="Times New Roman" w:cs="Times New Roman"/>
          <w:i/>
          <w:sz w:val="20"/>
          <w:szCs w:val="20"/>
        </w:rPr>
        <w:t>С</w:t>
      </w:r>
      <w:r w:rsidR="00990FB7" w:rsidRPr="00EE5D99">
        <w:rPr>
          <w:rFonts w:ascii="Times New Roman" w:hAnsi="Times New Roman" w:cs="Times New Roman"/>
          <w:i/>
          <w:sz w:val="20"/>
          <w:szCs w:val="20"/>
        </w:rPr>
        <w:t xml:space="preserve">нижение негативных последствий от </w:t>
      </w:r>
      <w:r w:rsidRPr="00EE5D99">
        <w:rPr>
          <w:rFonts w:ascii="Times New Roman" w:hAnsi="Times New Roman" w:cs="Times New Roman"/>
          <w:i/>
          <w:sz w:val="20"/>
          <w:szCs w:val="20"/>
        </w:rPr>
        <w:t>однофазных замыканий на землю</w:t>
      </w:r>
      <w:r w:rsidR="00990FB7" w:rsidRPr="00EE5D99">
        <w:rPr>
          <w:rFonts w:ascii="Times New Roman" w:hAnsi="Times New Roman" w:cs="Times New Roman"/>
          <w:i/>
          <w:sz w:val="20"/>
          <w:szCs w:val="20"/>
        </w:rPr>
        <w:t xml:space="preserve"> прив</w:t>
      </w:r>
      <w:r w:rsidRPr="00EE5D99">
        <w:rPr>
          <w:rFonts w:ascii="Times New Roman" w:hAnsi="Times New Roman" w:cs="Times New Roman"/>
          <w:i/>
          <w:sz w:val="20"/>
          <w:szCs w:val="20"/>
        </w:rPr>
        <w:t>оди</w:t>
      </w:r>
      <w:r w:rsidR="00990FB7" w:rsidRPr="00EE5D99">
        <w:rPr>
          <w:rFonts w:ascii="Times New Roman" w:hAnsi="Times New Roman" w:cs="Times New Roman"/>
          <w:i/>
          <w:sz w:val="20"/>
          <w:szCs w:val="20"/>
        </w:rPr>
        <w:t xml:space="preserve">т к значительному увеличению надёжности электроснабжения потребителей. </w:t>
      </w:r>
      <w:r w:rsidRPr="00EE5D99">
        <w:rPr>
          <w:rFonts w:ascii="Times New Roman" w:hAnsi="Times New Roman" w:cs="Times New Roman"/>
          <w:i/>
          <w:sz w:val="20"/>
          <w:szCs w:val="20"/>
        </w:rPr>
        <w:t>Р</w:t>
      </w:r>
      <w:r w:rsidR="00990FB7" w:rsidRPr="00EE5D99">
        <w:rPr>
          <w:rFonts w:ascii="Times New Roman" w:hAnsi="Times New Roman" w:cs="Times New Roman"/>
          <w:i/>
          <w:sz w:val="20"/>
          <w:szCs w:val="20"/>
        </w:rPr>
        <w:t xml:space="preserve">ассмотрены следующие </w:t>
      </w:r>
      <w:r w:rsidRPr="00EE5D99">
        <w:rPr>
          <w:rFonts w:ascii="Times New Roman" w:hAnsi="Times New Roman" w:cs="Times New Roman"/>
          <w:i/>
          <w:sz w:val="20"/>
          <w:szCs w:val="20"/>
        </w:rPr>
        <w:t>факторы</w:t>
      </w:r>
      <w:r w:rsidR="00990FB7" w:rsidRPr="00EE5D99">
        <w:rPr>
          <w:rFonts w:ascii="Times New Roman" w:hAnsi="Times New Roman" w:cs="Times New Roman"/>
          <w:i/>
          <w:sz w:val="20"/>
          <w:szCs w:val="20"/>
        </w:rPr>
        <w:t>: перенапряжения, феррорезонанс и гармонические составляющие тока и напряжения. Сравнение проводилось для режим</w:t>
      </w:r>
      <w:r w:rsidR="00EE5D99" w:rsidRPr="00EE5D99">
        <w:rPr>
          <w:rFonts w:ascii="Times New Roman" w:hAnsi="Times New Roman" w:cs="Times New Roman"/>
          <w:i/>
          <w:sz w:val="20"/>
          <w:szCs w:val="20"/>
        </w:rPr>
        <w:t>ов</w:t>
      </w:r>
      <w:r w:rsidR="00990FB7" w:rsidRPr="00EE5D99">
        <w:rPr>
          <w:rFonts w:ascii="Times New Roman" w:hAnsi="Times New Roman" w:cs="Times New Roman"/>
          <w:i/>
          <w:sz w:val="20"/>
          <w:szCs w:val="20"/>
        </w:rPr>
        <w:t xml:space="preserve"> изолированной, </w:t>
      </w:r>
      <w:r w:rsidR="00EE5D99" w:rsidRPr="00EE5D99">
        <w:rPr>
          <w:rFonts w:ascii="Times New Roman" w:hAnsi="Times New Roman" w:cs="Times New Roman"/>
          <w:i/>
          <w:sz w:val="20"/>
          <w:szCs w:val="20"/>
        </w:rPr>
        <w:t>компенсированной</w:t>
      </w:r>
      <w:r w:rsidR="00990FB7" w:rsidRPr="00EE5D99">
        <w:rPr>
          <w:rFonts w:ascii="Times New Roman" w:hAnsi="Times New Roman" w:cs="Times New Roman"/>
          <w:i/>
          <w:sz w:val="20"/>
          <w:szCs w:val="20"/>
        </w:rPr>
        <w:t xml:space="preserve"> и резистивно заземлен</w:t>
      </w:r>
      <w:r w:rsidR="00EE5D99" w:rsidRPr="00EE5D99">
        <w:rPr>
          <w:rFonts w:ascii="Times New Roman" w:hAnsi="Times New Roman" w:cs="Times New Roman"/>
          <w:i/>
          <w:sz w:val="20"/>
          <w:szCs w:val="20"/>
        </w:rPr>
        <w:t>ной</w:t>
      </w:r>
      <w:r w:rsidR="00990FB7" w:rsidRPr="00EE5D99">
        <w:rPr>
          <w:rFonts w:ascii="Times New Roman" w:hAnsi="Times New Roman" w:cs="Times New Roman"/>
          <w:i/>
          <w:sz w:val="20"/>
          <w:szCs w:val="20"/>
        </w:rPr>
        <w:t xml:space="preserve"> нейтрали</w:t>
      </w:r>
      <w:r w:rsidR="00EE5D99">
        <w:rPr>
          <w:rFonts w:ascii="Times New Roman" w:hAnsi="Times New Roman" w:cs="Times New Roman"/>
          <w:i/>
          <w:sz w:val="20"/>
          <w:szCs w:val="20"/>
        </w:rPr>
        <w:t>, установлено</w:t>
      </w:r>
      <w:r w:rsidR="00D63641">
        <w:rPr>
          <w:rFonts w:ascii="Times New Roman" w:hAnsi="Times New Roman" w:cs="Times New Roman"/>
          <w:i/>
          <w:sz w:val="20"/>
          <w:szCs w:val="20"/>
        </w:rPr>
        <w:t>,</w:t>
      </w:r>
      <w:r w:rsidR="00EE5D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63641">
        <w:rPr>
          <w:rFonts w:ascii="Times New Roman" w:hAnsi="Times New Roman" w:cs="Times New Roman"/>
          <w:i/>
          <w:sz w:val="20"/>
          <w:szCs w:val="20"/>
        </w:rPr>
        <w:t>ч</w:t>
      </w:r>
      <w:r w:rsidR="00EE5D99">
        <w:rPr>
          <w:rFonts w:ascii="Times New Roman" w:hAnsi="Times New Roman" w:cs="Times New Roman"/>
          <w:i/>
          <w:sz w:val="20"/>
          <w:szCs w:val="20"/>
        </w:rPr>
        <w:t>то последний наиболее предпочтителен</w:t>
      </w:r>
      <w:r w:rsidR="00990FB7" w:rsidRPr="00EE5D99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990FB7" w:rsidRPr="004C0AA9" w:rsidRDefault="00990FB7" w:rsidP="004C0A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5D99">
        <w:rPr>
          <w:rFonts w:ascii="Times New Roman" w:hAnsi="Times New Roman" w:cs="Times New Roman"/>
          <w:i/>
          <w:sz w:val="20"/>
          <w:szCs w:val="20"/>
        </w:rPr>
        <w:t>Ключевые слова: распределительные сети, однофазное замыкание на землю, изолированная нейтраль, резистивное заземление нейтрали</w:t>
      </w:r>
    </w:p>
    <w:p w:rsidR="00990FB7" w:rsidRPr="004C0AA9" w:rsidRDefault="00990FB7" w:rsidP="004C0A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4D00" w:rsidRPr="004C0AA9" w:rsidRDefault="009F4D00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Однофазные замыкания на землю являются наиболее распространённым видом повреждений в сетях среднего напряжения. Причём основной причиной выхода из строя сетевого оборудования, зачастую, является не само замыкание, а негативные факторы, сопутствующие данному явлению. Поэтому важнейшей задачей повышения надёжности электроснабжения сетей среднего напряжения является минимизация влияния этих факторов на сетево</w:t>
      </w:r>
      <w:r w:rsidR="005E7BB6" w:rsidRPr="004C0AA9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оборудование и питающие линии. Данную задачу можно решить путём рационализации способа заземления нейтрали в распределительных сетях.</w:t>
      </w:r>
    </w:p>
    <w:p w:rsidR="00CD534A" w:rsidRPr="004C0AA9" w:rsidRDefault="00CD534A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Для оценки аварийности кабельных линий и оборудования распределительной сети при дуговых однофазных замыканиях на землю </w:t>
      </w:r>
      <w:r w:rsidR="005E4A2B" w:rsidRPr="004C0AA9">
        <w:rPr>
          <w:rFonts w:ascii="Times New Roman" w:eastAsiaTheme="minorEastAsia" w:hAnsi="Times New Roman" w:cs="Times New Roman"/>
          <w:sz w:val="24"/>
          <w:szCs w:val="24"/>
        </w:rPr>
        <w:t>можно использовать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параметр потока отказов - отношения среднего числа отказов восстанавливаемого объекта за произвольно малую его наработку к значению этой наработки:</w:t>
      </w:r>
    </w:p>
    <w:p w:rsidR="00CD534A" w:rsidRPr="004C0AA9" w:rsidRDefault="00CD534A" w:rsidP="004C0AA9">
      <w:pPr>
        <w:pStyle w:val="MTDisplayEquation"/>
        <w:spacing w:after="0" w:line="240" w:lineRule="auto"/>
        <w:ind w:firstLine="720"/>
        <w:rPr>
          <w:sz w:val="24"/>
          <w:szCs w:val="24"/>
        </w:rPr>
      </w:pPr>
      <w:r w:rsidRPr="004C0AA9">
        <w:rPr>
          <w:sz w:val="24"/>
          <w:szCs w:val="24"/>
        </w:rPr>
        <w:tab/>
      </w:r>
      <w:r w:rsidRPr="004C0AA9">
        <w:rPr>
          <w:position w:val="-28"/>
          <w:sz w:val="24"/>
          <w:szCs w:val="24"/>
        </w:rPr>
        <w:object w:dxaOrig="15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37.5pt" o:ole="">
            <v:imagedata r:id="rId6" o:title=""/>
          </v:shape>
          <o:OLEObject Type="Embed" ProgID="Equation.DSMT4" ShapeID="_x0000_i1025" DrawAspect="Content" ObjectID="_1636538334" r:id="rId7"/>
        </w:object>
      </w:r>
    </w:p>
    <w:p w:rsidR="00CD534A" w:rsidRPr="004C0AA9" w:rsidRDefault="00CD534A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r w:rsidRPr="004C0AA9"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)– число отказов объекта за наработку </w:t>
      </w:r>
      <w:r w:rsidRPr="004C0AA9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D534A" w:rsidRPr="004C0AA9" w:rsidRDefault="00CD534A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Математическое ожидание числа отказов характеризует количество отказов объекта, которое может возникнуть при данной величине потока отказов на заданном промежутке времени. В общем случае эту интегральную величину можно записать как:</w:t>
      </w:r>
    </w:p>
    <w:p w:rsidR="00CD534A" w:rsidRPr="004C0AA9" w:rsidRDefault="00CD534A" w:rsidP="004C0AA9">
      <w:pPr>
        <w:pStyle w:val="MTDisplayEquation"/>
        <w:spacing w:after="0" w:line="240" w:lineRule="auto"/>
        <w:ind w:firstLine="720"/>
        <w:rPr>
          <w:sz w:val="24"/>
          <w:szCs w:val="24"/>
        </w:rPr>
      </w:pPr>
      <w:r w:rsidRPr="004C0AA9">
        <w:rPr>
          <w:sz w:val="24"/>
          <w:szCs w:val="24"/>
        </w:rPr>
        <w:tab/>
      </w:r>
      <w:r w:rsidRPr="004C0AA9">
        <w:rPr>
          <w:position w:val="-16"/>
          <w:sz w:val="24"/>
          <w:szCs w:val="24"/>
        </w:rPr>
        <w:object w:dxaOrig="1680" w:dyaOrig="460">
          <v:shape id="_x0000_i1026" type="#_x0000_t75" style="width:84pt;height:22.5pt" o:ole="">
            <v:imagedata r:id="rId8" o:title=""/>
          </v:shape>
          <o:OLEObject Type="Embed" ProgID="Equation.DSMT4" ShapeID="_x0000_i1026" DrawAspect="Content" ObjectID="_1636538335" r:id="rId9"/>
        </w:object>
      </w:r>
    </w:p>
    <w:p w:rsidR="00CD534A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Так как во время сбора данных, результатом обобщения и анализа которых и является [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], в нашей стране в нормативной документации не было упоминаний о возможности использования резистивного заземления нейтрали, а компенсированные сети были малочисленны и имели, в основном, ступенчатое регулирование индуктивности реакторов, можно принять, что данный поток отказов приведён для систем с изолированной нейтралью.</w:t>
      </w:r>
    </w:p>
    <w:p w:rsidR="00DA53CD" w:rsidRPr="004C0AA9" w:rsidRDefault="00D55E8B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5E8B">
        <w:rPr>
          <w:rFonts w:ascii="Times New Roman" w:eastAsiaTheme="minorEastAsia" w:hAnsi="Times New Roman" w:cs="Times New Roman"/>
          <w:b/>
          <w:sz w:val="24"/>
          <w:szCs w:val="24"/>
        </w:rPr>
        <w:t>Изолированная нейтраль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Прежде всего </w:t>
      </w:r>
      <w:r w:rsidR="005E4A2B" w:rsidRPr="004C0AA9">
        <w:rPr>
          <w:rFonts w:ascii="Times New Roman" w:eastAsiaTheme="minorEastAsia" w:hAnsi="Times New Roman" w:cs="Times New Roman"/>
          <w:sz w:val="24"/>
          <w:szCs w:val="24"/>
        </w:rPr>
        <w:t>необходимо рассмотреть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аварийность питающих кабельных линий по причине высоких кратностей перенапряжений. Используя данные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из 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[1]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и формул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у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математического ожидания числа отказов нетрудно получить 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выражение, определяющее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число отказов распределительной линии за заданный промежуток времени:</w:t>
      </w:r>
    </w:p>
    <w:p w:rsidR="00CD534A" w:rsidRPr="004C0AA9" w:rsidRDefault="00CD534A" w:rsidP="004C0AA9">
      <w:pPr>
        <w:pStyle w:val="MTDisplayEquation"/>
        <w:spacing w:after="0" w:line="240" w:lineRule="auto"/>
        <w:ind w:firstLine="720"/>
        <w:rPr>
          <w:sz w:val="24"/>
          <w:szCs w:val="24"/>
        </w:rPr>
      </w:pPr>
      <w:r w:rsidRPr="004C0AA9">
        <w:rPr>
          <w:sz w:val="24"/>
          <w:szCs w:val="24"/>
        </w:rPr>
        <w:tab/>
      </w:r>
      <w:r w:rsidRPr="004C0AA9">
        <w:rPr>
          <w:position w:val="-28"/>
          <w:sz w:val="24"/>
          <w:szCs w:val="24"/>
        </w:rPr>
        <w:object w:dxaOrig="1620" w:dyaOrig="720">
          <v:shape id="_x0000_i1027" type="#_x0000_t75" style="width:81pt;height:36pt" o:ole="">
            <v:imagedata r:id="rId10" o:title=""/>
          </v:shape>
          <o:OLEObject Type="Embed" ProgID="Equation.DSMT4" ShapeID="_x0000_i1027" DrawAspect="Content" ObjectID="_1636538336" r:id="rId11"/>
        </w:object>
      </w:r>
    </w:p>
    <w:p w:rsidR="00DA53CD" w:rsidRPr="004C0AA9" w:rsidRDefault="00DA53CD" w:rsidP="004C0AA9">
      <w:pPr>
        <w:pStyle w:val="a3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hAnsi="Times New Roman" w:cs="Times New Roman"/>
          <w:sz w:val="24"/>
          <w:szCs w:val="24"/>
        </w:rPr>
        <w:t xml:space="preserve">где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D534A"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– рассматриваемый промежуток времени, год;</w:t>
      </w:r>
    </w:p>
    <w:p w:rsidR="00DA53CD" w:rsidRPr="004C0AA9" w:rsidRDefault="00CD534A" w:rsidP="004C0AA9">
      <w:pPr>
        <w:pStyle w:val="a3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– длина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рассматриваемого участка сети, км.</w: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Но приведённая выше формула характеризует общее число повреждений, в то время как </w:t>
      </w:r>
      <w:r w:rsidR="005E4A2B" w:rsidRPr="004C0AA9">
        <w:rPr>
          <w:rFonts w:ascii="Times New Roman" w:eastAsiaTheme="minorEastAsia" w:hAnsi="Times New Roman" w:cs="Times New Roman"/>
          <w:sz w:val="24"/>
          <w:szCs w:val="24"/>
        </w:rPr>
        <w:t>в рамка</w:t>
      </w:r>
      <w:r w:rsidR="005E7BB6" w:rsidRPr="004C0AA9"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5E4A2B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данной работы рассматриваются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только однофазные замыкания на землю. Согласно [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2, 3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], доля однофазных замыканий на землю от общего числа повреждений составляет в среднем 70%.</w: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Из этого числа однофазных замыканий </w:t>
      </w:r>
      <w:r w:rsidR="005E4A2B" w:rsidRPr="004C0AA9">
        <w:rPr>
          <w:rFonts w:ascii="Times New Roman" w:eastAsiaTheme="minorEastAsia" w:hAnsi="Times New Roman" w:cs="Times New Roman"/>
          <w:sz w:val="24"/>
          <w:szCs w:val="24"/>
        </w:rPr>
        <w:t>наибольший интерес представляют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именно дуговые замыкания, </w:t>
      </w:r>
      <w:r w:rsidR="005E7BB6" w:rsidRPr="004C0AA9">
        <w:rPr>
          <w:rFonts w:ascii="Times New Roman" w:eastAsiaTheme="minorEastAsia" w:hAnsi="Times New Roman" w:cs="Times New Roman"/>
          <w:sz w:val="24"/>
          <w:szCs w:val="24"/>
        </w:rPr>
        <w:t>сопровождающиеся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наибольши</w:t>
      </w:r>
      <w:r w:rsidR="005E7BB6" w:rsidRPr="004C0AA9">
        <w:rPr>
          <w:rFonts w:ascii="Times New Roman" w:eastAsiaTheme="minorEastAsia" w:hAnsi="Times New Roman" w:cs="Times New Roman"/>
          <w:sz w:val="24"/>
          <w:szCs w:val="24"/>
        </w:rPr>
        <w:t>ми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кратност</w:t>
      </w:r>
      <w:r w:rsidR="005E7BB6" w:rsidRPr="004C0AA9">
        <w:rPr>
          <w:rFonts w:ascii="Times New Roman" w:eastAsiaTheme="minorEastAsia" w:hAnsi="Times New Roman" w:cs="Times New Roman"/>
          <w:sz w:val="24"/>
          <w:szCs w:val="24"/>
        </w:rPr>
        <w:t>ями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перенапряжени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й. По оценкам разных источников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доля дуговых замыканий среди однофазных замыканий на землю составляет порядка 65-75%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A53CD" w:rsidRPr="004C0AA9" w:rsidRDefault="005E7BB6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С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огласно [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] около 50% всех распределительных линий эксплуатируются уже более 35 лет, то есть выше нормативного срока использования, что явно указывает на изношенность их изоляции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способствует возникновению аварийной ситуации. Соответственно, можно 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принять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, что общее число повреждений при такой ситуации 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возрастёт примерно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в 2 раза.</w: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Тогда, с учётом поправочных коэффициентов, </w:t>
      </w:r>
      <w:r w:rsidR="005E4A2B" w:rsidRPr="004C0AA9">
        <w:rPr>
          <w:rFonts w:ascii="Times New Roman" w:eastAsiaTheme="minorEastAsia" w:hAnsi="Times New Roman" w:cs="Times New Roman"/>
          <w:sz w:val="24"/>
          <w:szCs w:val="24"/>
        </w:rPr>
        <w:t>можно определить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число </w:t>
      </w:r>
      <w:r w:rsidR="00CD534A" w:rsidRPr="004C0AA9">
        <w:rPr>
          <w:rFonts w:ascii="Times New Roman" w:eastAsiaTheme="minorEastAsia" w:hAnsi="Times New Roman" w:cs="Times New Roman"/>
          <w:sz w:val="24"/>
          <w:szCs w:val="24"/>
        </w:rPr>
        <w:t>аварийных отключений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линий распределительной сети по причине дуговых однофазных замыканий на землю:</w:t>
      </w:r>
    </w:p>
    <w:p w:rsidR="00DA53CD" w:rsidRPr="004C0AA9" w:rsidRDefault="00CD534A" w:rsidP="004C0AA9">
      <w:pPr>
        <w:pStyle w:val="MTDisplayEquation"/>
        <w:spacing w:after="0" w:line="240" w:lineRule="auto"/>
        <w:ind w:firstLine="720"/>
        <w:rPr>
          <w:sz w:val="24"/>
          <w:szCs w:val="24"/>
        </w:rPr>
      </w:pPr>
      <w:r w:rsidRPr="004C0AA9">
        <w:rPr>
          <w:sz w:val="24"/>
          <w:szCs w:val="24"/>
        </w:rPr>
        <w:tab/>
      </w:r>
      <w:r w:rsidRPr="004C0AA9">
        <w:rPr>
          <w:position w:val="-28"/>
          <w:sz w:val="24"/>
          <w:szCs w:val="24"/>
        </w:rPr>
        <w:object w:dxaOrig="5460" w:dyaOrig="720">
          <v:shape id="_x0000_i1028" type="#_x0000_t75" style="width:273pt;height:36pt" o:ole="">
            <v:imagedata r:id="rId12" o:title=""/>
          </v:shape>
          <o:OLEObject Type="Embed" ProgID="Equation.DSMT4" ShapeID="_x0000_i1028" DrawAspect="Content" ObjectID="_1636538337" r:id="rId13"/>
        </w:objec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Отсюда можно сделать вывод, что, с учётом текущего технического состояния распределительных сетей, поток отказов, приведённый в </w:t>
      </w:r>
      <w:r w:rsidR="002B1BE7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[1]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можно использовать для оценки числа отказов, вызванных однофазными дуговыми замыканиями на землю.</w:t>
      </w:r>
    </w:p>
    <w:p w:rsidR="00DA53CD" w:rsidRPr="004C0AA9" w:rsidRDefault="002B1BE7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Ещё одним негативным фактором, сопутствующим однофазному замыканию на землю является феррорезонанс. </w:t>
      </w:r>
      <w:r w:rsidR="00D63641">
        <w:rPr>
          <w:rFonts w:ascii="Times New Roman" w:eastAsiaTheme="minorEastAsia" w:hAnsi="Times New Roman" w:cs="Times New Roman"/>
          <w:sz w:val="24"/>
          <w:szCs w:val="24"/>
        </w:rPr>
        <w:t xml:space="preserve">Основным элементом электрических сетей, подвергающимся воздействию феррорезонансных процессов, являются электромагнитные трансформаторы напряжения. В режиме однофазного замыкания происходит насыщение сердечника,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вероятность наступления условия резонанса</w:t>
      </w:r>
      <w:r w:rsidR="00D63641">
        <w:rPr>
          <w:rFonts w:ascii="Times New Roman" w:eastAsiaTheme="minorEastAsia" w:hAnsi="Times New Roman" w:cs="Times New Roman"/>
          <w:sz w:val="24"/>
          <w:szCs w:val="24"/>
        </w:rPr>
        <w:t xml:space="preserve"> резко возрастает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, ток в обмотке трансформатора напряжения увеличивается выше допустимых значений, разрушается изоляция обмотки, происходят межвитковые замыкания и наступает тепловое разрушение прибора.</w:t>
      </w:r>
      <w:r w:rsidR="00EF4886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У такого типа аварии могут быть далеко идущие последствия, связанные с отказом или ложным срабатыванием систем релейной защиты, а также нарушением работы систем коммерческого учёта электроэнергии. </w: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Для оценки числа вышедших из строя трансформаторов напряжения воспользуемся той же методикой, что и для распределительных линий. Применительно к трансформаторам напряжения поток отказов можно принять с</w:t>
      </w:r>
      <w:r w:rsidR="00EF4886" w:rsidRPr="004C0AA9">
        <w:rPr>
          <w:rFonts w:ascii="Times New Roman" w:eastAsiaTheme="minorEastAsia" w:hAnsi="Times New Roman" w:cs="Times New Roman"/>
          <w:sz w:val="24"/>
          <w:szCs w:val="24"/>
        </w:rPr>
        <w:t>огласно таблице 1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w:r w:rsidR="00EF4886" w:rsidRPr="004C0AA9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].</w:t>
      </w:r>
    </w:p>
    <w:p w:rsidR="00DA53CD" w:rsidRPr="005B7246" w:rsidRDefault="00EF4886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5B7246">
        <w:rPr>
          <w:rFonts w:ascii="Times New Roman" w:eastAsiaTheme="minorEastAsia" w:hAnsi="Times New Roman" w:cs="Times New Roman"/>
          <w:i/>
          <w:sz w:val="24"/>
          <w:szCs w:val="24"/>
        </w:rPr>
        <w:t>Таблица 1</w:t>
      </w:r>
      <w:r w:rsidR="00DA53CD" w:rsidRPr="005B7246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Поток отказов трансформаторов напряжения</w:t>
      </w:r>
    </w:p>
    <w:tbl>
      <w:tblPr>
        <w:tblStyle w:val="a5"/>
        <w:tblW w:w="9407" w:type="dxa"/>
        <w:tblLook w:val="04A0" w:firstRow="1" w:lastRow="0" w:firstColumn="1" w:lastColumn="0" w:noHBand="0" w:noVBand="1"/>
      </w:tblPr>
      <w:tblGrid>
        <w:gridCol w:w="1558"/>
        <w:gridCol w:w="1251"/>
        <w:gridCol w:w="1260"/>
        <w:gridCol w:w="1275"/>
        <w:gridCol w:w="1275"/>
        <w:gridCol w:w="1332"/>
        <w:gridCol w:w="1456"/>
      </w:tblGrid>
      <w:tr w:rsidR="00DA53CD" w:rsidRPr="004C0AA9" w:rsidTr="00DA53CD">
        <w:trPr>
          <w:trHeight w:val="568"/>
        </w:trPr>
        <w:tc>
          <w:tcPr>
            <w:tcW w:w="1558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Кол-во</w:t>
            </w:r>
          </w:p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повреждений</w:t>
            </w:r>
          </w:p>
        </w:tc>
        <w:tc>
          <w:tcPr>
            <w:tcW w:w="1251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Не было</w:t>
            </w:r>
          </w:p>
        </w:tc>
        <w:tc>
          <w:tcPr>
            <w:tcW w:w="1260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1 ремонт</w:t>
            </w:r>
          </w:p>
        </w:tc>
        <w:tc>
          <w:tcPr>
            <w:tcW w:w="1275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2 ремонта</w:t>
            </w:r>
          </w:p>
        </w:tc>
        <w:tc>
          <w:tcPr>
            <w:tcW w:w="1275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3 ремонта</w:t>
            </w:r>
          </w:p>
        </w:tc>
        <w:tc>
          <w:tcPr>
            <w:tcW w:w="1332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4 ремонта</w:t>
            </w:r>
          </w:p>
        </w:tc>
        <w:tc>
          <w:tcPr>
            <w:tcW w:w="1456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5 ремонтов</w:t>
            </w:r>
          </w:p>
        </w:tc>
      </w:tr>
      <w:tr w:rsidR="00DA53CD" w:rsidRPr="004C0AA9" w:rsidTr="005B7246">
        <w:trPr>
          <w:trHeight w:val="561"/>
        </w:trPr>
        <w:tc>
          <w:tcPr>
            <w:tcW w:w="1558" w:type="dxa"/>
            <w:vAlign w:val="center"/>
          </w:tcPr>
          <w:p w:rsidR="00DA53CD" w:rsidRPr="005B7246" w:rsidRDefault="00E40014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ω</w:t>
            </w:r>
            <w:r w:rsidR="00DA53CD" w:rsidRPr="005B7246">
              <w:rPr>
                <w:rFonts w:ascii="Times New Roman" w:eastAsiaTheme="minorEastAsia" w:hAnsi="Times New Roman" w:cs="Times New Roman"/>
              </w:rPr>
              <w:t>, 1/год</w:t>
            </w:r>
          </w:p>
        </w:tc>
        <w:tc>
          <w:tcPr>
            <w:tcW w:w="1251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0,0483</w:t>
            </w:r>
          </w:p>
        </w:tc>
        <w:tc>
          <w:tcPr>
            <w:tcW w:w="1260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0,2381</w:t>
            </w:r>
          </w:p>
        </w:tc>
        <w:tc>
          <w:tcPr>
            <w:tcW w:w="1275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0,5263</w:t>
            </w:r>
          </w:p>
        </w:tc>
        <w:tc>
          <w:tcPr>
            <w:tcW w:w="1275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0,7143</w:t>
            </w:r>
          </w:p>
        </w:tc>
        <w:tc>
          <w:tcPr>
            <w:tcW w:w="1332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2,7907</w:t>
            </w:r>
          </w:p>
        </w:tc>
        <w:tc>
          <w:tcPr>
            <w:tcW w:w="1456" w:type="dxa"/>
            <w:vAlign w:val="center"/>
          </w:tcPr>
          <w:p w:rsidR="00DA53CD" w:rsidRPr="005B7246" w:rsidRDefault="00DA53CD" w:rsidP="005B72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B7246">
              <w:rPr>
                <w:rFonts w:ascii="Times New Roman" w:eastAsiaTheme="minorEastAsia" w:hAnsi="Times New Roman" w:cs="Times New Roman"/>
              </w:rPr>
              <w:t>4,4444</w:t>
            </w:r>
          </w:p>
        </w:tc>
      </w:tr>
    </w:tbl>
    <w:p w:rsidR="00EF4886" w:rsidRPr="004C0AA9" w:rsidRDefault="00EF4886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Из таблицы </w:t>
      </w:r>
      <w:r w:rsidR="00CB1380" w:rsidRPr="004C0AA9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видно, что величина потока отказов для данного оборудования сильно зависит от предыдущей истории ремонтов. Ориентируясь на данную </w:t>
      </w:r>
      <w:r w:rsidR="00D63641">
        <w:rPr>
          <w:rFonts w:ascii="Times New Roman" w:eastAsiaTheme="minorEastAsia" w:hAnsi="Times New Roman" w:cs="Times New Roman"/>
          <w:sz w:val="24"/>
          <w:szCs w:val="24"/>
        </w:rPr>
        <w:t>информацию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, можно определить поток отказов для каждого конкретного случая использования трансформаторов напряжения.</w:t>
      </w:r>
    </w:p>
    <w:p w:rsidR="00DA53CD" w:rsidRPr="004C0AA9" w:rsidRDefault="00CB1380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Используя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данные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из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[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], свидетельствующие об износе подстанционного и сетевого оборудования, можно в рамках данной работы принять, что в среднем каждый работающий трансформатор напряжения был в ремонте по крайней мере 2 раза. </w:t>
      </w:r>
    </w:p>
    <w:p w:rsidR="00DA53CD" w:rsidRPr="004C0AA9" w:rsidRDefault="00D63641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При этом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в случае возникновения феррорезонансных процессов в магнитной системе трансформатора напряжения он, в подавляющем большинстве случаев, выходит из строя без возможности проведения ремонтных работ.  Следовательно, </w:t>
      </w:r>
      <w:r>
        <w:rPr>
          <w:rFonts w:ascii="Times New Roman" w:eastAsiaTheme="minorEastAsia" w:hAnsi="Times New Roman" w:cs="Times New Roman"/>
          <w:sz w:val="24"/>
          <w:szCs w:val="24"/>
        </w:rPr>
        <w:t>речь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об отказе оборудования без возможности восстановления.</w: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Вероятность безотказной работы определя</w:t>
      </w:r>
      <w:r w:rsidR="00D63641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тся по формуле:</w:t>
      </w:r>
    </w:p>
    <w:p w:rsidR="00CB1380" w:rsidRPr="004C0AA9" w:rsidRDefault="00CB1380" w:rsidP="004C0AA9">
      <w:pPr>
        <w:pStyle w:val="MTDisplayEquation"/>
        <w:spacing w:after="0" w:line="240" w:lineRule="auto"/>
        <w:ind w:firstLine="720"/>
        <w:rPr>
          <w:sz w:val="24"/>
          <w:szCs w:val="24"/>
        </w:rPr>
      </w:pPr>
      <w:r w:rsidRPr="004C0AA9">
        <w:rPr>
          <w:sz w:val="24"/>
          <w:szCs w:val="24"/>
        </w:rPr>
        <w:tab/>
      </w:r>
      <w:r w:rsidRPr="004C0AA9">
        <w:rPr>
          <w:position w:val="-14"/>
          <w:sz w:val="24"/>
          <w:szCs w:val="24"/>
        </w:rPr>
        <w:object w:dxaOrig="1300" w:dyaOrig="440">
          <v:shape id="_x0000_i1029" type="#_x0000_t75" style="width:64.5pt;height:22.5pt" o:ole="">
            <v:imagedata r:id="rId14" o:title=""/>
          </v:shape>
          <o:OLEObject Type="Embed" ProgID="Equation.DSMT4" ShapeID="_x0000_i1029" DrawAspect="Content" ObjectID="_1636538338" r:id="rId15"/>
        </w:object>
      </w:r>
      <w:r w:rsidR="004152F1">
        <w:rPr>
          <w:sz w:val="24"/>
          <w:szCs w:val="24"/>
        </w:rPr>
        <w:t>,</w:t>
      </w:r>
    </w:p>
    <w:p w:rsidR="00DA53CD" w:rsidRPr="004C0AA9" w:rsidRDefault="004152F1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вероятность выхода из строя оборудования:</w:t>
      </w:r>
    </w:p>
    <w:p w:rsidR="00CB1380" w:rsidRPr="004C0AA9" w:rsidRDefault="00CB1380" w:rsidP="004C0AA9">
      <w:pPr>
        <w:pStyle w:val="MTDisplayEquation"/>
        <w:spacing w:after="0" w:line="240" w:lineRule="auto"/>
        <w:ind w:firstLine="720"/>
        <w:rPr>
          <w:sz w:val="24"/>
          <w:szCs w:val="24"/>
        </w:rPr>
      </w:pPr>
      <w:r w:rsidRPr="004C0AA9">
        <w:rPr>
          <w:sz w:val="24"/>
          <w:szCs w:val="24"/>
        </w:rPr>
        <w:lastRenderedPageBreak/>
        <w:tab/>
      </w:r>
      <w:r w:rsidRPr="004C0AA9">
        <w:rPr>
          <w:position w:val="-14"/>
          <w:sz w:val="24"/>
          <w:szCs w:val="24"/>
        </w:rPr>
        <w:object w:dxaOrig="2799" w:dyaOrig="440">
          <v:shape id="_x0000_i1030" type="#_x0000_t75" style="width:139.5pt;height:22.5pt" o:ole="">
            <v:imagedata r:id="rId16" o:title=""/>
          </v:shape>
          <o:OLEObject Type="Embed" ProgID="Equation.DSMT4" ShapeID="_x0000_i1030" DrawAspect="Content" ObjectID="_1636538339" r:id="rId17"/>
        </w:objec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Приведённая выше формула справедлива для наступления аварийной ситуации, вызванной всей совокупностью не</w:t>
      </w:r>
      <w:r w:rsidR="00E40014" w:rsidRPr="004C0AA9">
        <w:rPr>
          <w:rFonts w:ascii="Times New Roman" w:eastAsiaTheme="minorEastAsia" w:hAnsi="Times New Roman" w:cs="Times New Roman"/>
          <w:sz w:val="24"/>
          <w:szCs w:val="24"/>
        </w:rPr>
        <w:t>га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тивных факторов, которые могут действовать на трансформаторы напряжения. </w:t>
      </w:r>
      <w:r w:rsidR="005E4A2B" w:rsidRPr="004C0AA9">
        <w:rPr>
          <w:rFonts w:ascii="Times New Roman" w:eastAsiaTheme="minorEastAsia" w:hAnsi="Times New Roman" w:cs="Times New Roman"/>
          <w:sz w:val="24"/>
          <w:szCs w:val="24"/>
        </w:rPr>
        <w:t>Из этой совокупности необходимо выделить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вероятность выхода из строя трансформатора напряжения по причине возникновения феррорезонансных явлений в его магнитопроводе. Как было отмечено выше, возникновению этого явления способствует наличие однофазного замыкания на землю в сети, в особенности, дугового. </w:t>
      </w:r>
    </w:p>
    <w:p w:rsidR="00DA53CD" w:rsidRPr="004C0AA9" w:rsidRDefault="004152F1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Ч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исл</w:t>
      </w:r>
      <w:r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выведенных из строя трансформаторов напряжения на промежутке времени </w:t>
      </w:r>
      <w:r w:rsidR="00DA53CD"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по причине возникновения в их магнитопроводах феррорезонансных явлений, можно </w:t>
      </w:r>
      <w:r>
        <w:rPr>
          <w:rFonts w:ascii="Times New Roman" w:eastAsiaTheme="minorEastAsia" w:hAnsi="Times New Roman" w:cs="Times New Roman"/>
          <w:sz w:val="24"/>
          <w:szCs w:val="24"/>
        </w:rPr>
        <w:t>определить как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E40014" w:rsidRPr="004C0AA9" w:rsidRDefault="00E40014" w:rsidP="004C0AA9">
      <w:pPr>
        <w:pStyle w:val="MTDisplayEquation"/>
        <w:spacing w:after="0" w:line="240" w:lineRule="auto"/>
        <w:ind w:firstLine="720"/>
        <w:rPr>
          <w:sz w:val="24"/>
          <w:szCs w:val="24"/>
          <w:lang w:val="en-US"/>
        </w:rPr>
      </w:pPr>
      <w:r w:rsidRPr="004C0AA9">
        <w:rPr>
          <w:sz w:val="24"/>
          <w:szCs w:val="24"/>
        </w:rPr>
        <w:tab/>
      </w:r>
      <w:r w:rsidRPr="004C0AA9">
        <w:rPr>
          <w:position w:val="-16"/>
          <w:sz w:val="24"/>
          <w:szCs w:val="24"/>
        </w:rPr>
        <w:object w:dxaOrig="2920" w:dyaOrig="440">
          <v:shape id="_x0000_i1031" type="#_x0000_t75" style="width:145.5pt;height:22.5pt" o:ole="">
            <v:imagedata r:id="rId18" o:title=""/>
          </v:shape>
          <o:OLEObject Type="Embed" ProgID="Equation.DSMT4" ShapeID="_x0000_i1031" DrawAspect="Content" ObjectID="_1636538340" r:id="rId19"/>
        </w:objec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hAnsi="Times New Roman" w:cs="Times New Roman"/>
          <w:sz w:val="24"/>
          <w:szCs w:val="24"/>
        </w:rPr>
        <w:t xml:space="preserve">где </w:t>
      </w:r>
      <w:r w:rsidR="00E40014" w:rsidRPr="004C0AA9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="00E40014"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g</w:t>
      </w:r>
      <w:r w:rsidR="00E40014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– доля однофазных замыканий на землю от общего числа аварийных ситуаций,</w:t>
      </w:r>
      <w:r w:rsidR="00E40014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40014" w:rsidRPr="004C0AA9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="00E40014"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g</w:t>
      </w:r>
      <w:r w:rsidR="00E40014"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 xml:space="preserve"> </w:t>
      </w:r>
      <w:r w:rsidR="00E40014" w:rsidRPr="004C0AA9">
        <w:rPr>
          <w:rFonts w:ascii="Times New Roman" w:eastAsiaTheme="minorEastAsia" w:hAnsi="Times New Roman" w:cs="Times New Roman"/>
          <w:sz w:val="24"/>
          <w:szCs w:val="24"/>
        </w:rPr>
        <w:t>≈0,7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DA53CD" w:rsidRPr="004C0AA9" w:rsidRDefault="00E40014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arc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доля дуговых замыканий от общего числа замыканий на землю, </w:t>
      </w:r>
      <w:r w:rsidRPr="004C0AA9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arc</w:t>
      </w:r>
      <w:r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 xml:space="preserve">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≈0,7;</w:t>
      </w:r>
    </w:p>
    <w:p w:rsidR="00DA53CD" w:rsidRPr="004C0AA9" w:rsidRDefault="00E40014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tn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число трансформаторов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напряжения</w:t>
      </w:r>
      <w:r w:rsidR="00872529" w:rsidRPr="004C0AA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A53CD" w:rsidRPr="004C0AA9" w:rsidRDefault="00872529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Помимо рассмотренных негативны</w:t>
      </w:r>
      <w:r w:rsidR="00716A03" w:rsidRPr="004C0AA9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факторов, однофазное дуговое замыкание на землю значительно искажает кривую тока и напряжения.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Наличие гармонических составляющих в сети приводит к дополнительному нагреву изоляции, а значит к её ускоренному старению и выходу оборудования из строя. </w:t>
      </w:r>
      <w:r w:rsidR="004152F1">
        <w:rPr>
          <w:rFonts w:ascii="Times New Roman" w:eastAsiaTheme="minorEastAsia" w:hAnsi="Times New Roman" w:cs="Times New Roman"/>
          <w:sz w:val="24"/>
          <w:szCs w:val="24"/>
        </w:rPr>
        <w:t>Этот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негативный фактор отрицательно влияет как на потребителей электроэнергии, так и на объекты генерации</w:t>
      </w:r>
      <w:r w:rsidR="004152F1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52F1">
        <w:rPr>
          <w:rFonts w:ascii="Times New Roman" w:eastAsiaTheme="minorEastAsia" w:hAnsi="Times New Roman" w:cs="Times New Roman"/>
          <w:sz w:val="24"/>
          <w:szCs w:val="24"/>
        </w:rPr>
        <w:t xml:space="preserve">поэтому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при частном рассмотрении данной проблемы следует оценивать их влияние на работу каждого элемента конкретного участка сети или энергетического объекта.</w:t>
      </w:r>
    </w:p>
    <w:p w:rsidR="00DA53CD" w:rsidRPr="004C0AA9" w:rsidRDefault="00872529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С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ледует учесть, что в электротехническом хозяйстве потребителей всегда присутствует доля электроприёмников, создающих собственные гармонические искажения. </w:t>
      </w:r>
      <w:r w:rsidR="001D2273" w:rsidRPr="004C0AA9">
        <w:rPr>
          <w:rFonts w:ascii="Times New Roman" w:eastAsiaTheme="minorEastAsia" w:hAnsi="Times New Roman" w:cs="Times New Roman"/>
          <w:sz w:val="24"/>
          <w:szCs w:val="24"/>
        </w:rPr>
        <w:t>Однако,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в рамках данной работы </w:t>
      </w:r>
      <w:r w:rsidR="001D2273" w:rsidRPr="004C0AA9">
        <w:rPr>
          <w:rFonts w:ascii="Times New Roman" w:eastAsiaTheme="minorEastAsia" w:hAnsi="Times New Roman" w:cs="Times New Roman"/>
          <w:sz w:val="24"/>
          <w:szCs w:val="24"/>
        </w:rPr>
        <w:t>рассматриваются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гармонические составляющие, вызванные именно режимом дугового однофазного замыкания на землю.</w:t>
      </w:r>
    </w:p>
    <w:p w:rsidR="00DA53CD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Помимо этого, вероятность отказа оборудования зависит от уровня гармонических составляющих, так как с этим напрямую связана интенсивность старения изоляции.</w:t>
      </w:r>
    </w:p>
    <w:p w:rsidR="00872529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Для приблизительной оценки числа ремонтов энергетического оборудования, вышедшего из строя из-за наличия в сети гармонических составляющих, вызванных однофазным дуговым замыканием на землю, можно использовать следующую формулу:</w:t>
      </w:r>
    </w:p>
    <w:p w:rsidR="00DA53CD" w:rsidRPr="004C0AA9" w:rsidRDefault="00872529" w:rsidP="004C0AA9">
      <w:pPr>
        <w:pStyle w:val="MTDisplayEquation"/>
        <w:spacing w:after="0" w:line="240" w:lineRule="auto"/>
        <w:ind w:firstLine="720"/>
        <w:rPr>
          <w:sz w:val="24"/>
          <w:szCs w:val="24"/>
          <w:lang w:val="en-US"/>
        </w:rPr>
      </w:pPr>
      <w:r w:rsidRPr="004C0AA9">
        <w:rPr>
          <w:sz w:val="24"/>
          <w:szCs w:val="24"/>
        </w:rPr>
        <w:tab/>
      </w:r>
      <w:r w:rsidRPr="004C0AA9">
        <w:rPr>
          <w:position w:val="-34"/>
          <w:sz w:val="24"/>
          <w:szCs w:val="24"/>
          <w:lang w:val="en-US"/>
        </w:rPr>
        <w:object w:dxaOrig="7580" w:dyaOrig="820">
          <v:shape id="_x0000_i1032" type="#_x0000_t75" style="width:379.5pt;height:40.5pt" o:ole="">
            <v:imagedata r:id="rId20" o:title=""/>
          </v:shape>
          <o:OLEObject Type="Embed" ProgID="Equation.DSMT4" ShapeID="_x0000_i1032" DrawAspect="Content" ObjectID="_1636538341" r:id="rId21"/>
        </w:objec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hAnsi="Times New Roman" w:cs="Times New Roman"/>
          <w:sz w:val="24"/>
          <w:szCs w:val="24"/>
        </w:rPr>
        <w:t xml:space="preserve">где </w:t>
      </w:r>
      <w:r w:rsidR="00B7072D" w:rsidRPr="004C0AA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B7072D" w:rsidRPr="004C0AA9">
        <w:rPr>
          <w:rFonts w:ascii="Times New Roman" w:hAnsi="Times New Roman" w:cs="Times New Roman"/>
          <w:sz w:val="24"/>
          <w:szCs w:val="24"/>
        </w:rPr>
        <w:t xml:space="preserve"> </w:t>
      </w:r>
      <w:r w:rsidR="00B7072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рассматриваемый интервал времени;</w:t>
      </w:r>
    </w:p>
    <w:p w:rsidR="00DA53CD" w:rsidRPr="004C0AA9" w:rsidRDefault="00B7072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4C0AA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ins</w:t>
      </w:r>
      <w:r w:rsidRPr="004C0AA9">
        <w:rPr>
          <w:rFonts w:ascii="Times New Roman" w:hAnsi="Times New Roman" w:cs="Times New Roman"/>
          <w:sz w:val="24"/>
          <w:szCs w:val="24"/>
        </w:rPr>
        <w:t xml:space="preserve">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фактическая температура нагрева изоляции;</w:t>
      </w:r>
    </w:p>
    <w:p w:rsidR="00DA53CD" w:rsidRPr="004C0AA9" w:rsidRDefault="00B7072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4C0AA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r</w:t>
      </w:r>
      <w:r w:rsidRPr="004C0AA9">
        <w:rPr>
          <w:rFonts w:ascii="Times New Roman" w:hAnsi="Times New Roman" w:cs="Times New Roman"/>
          <w:sz w:val="24"/>
          <w:szCs w:val="24"/>
        </w:rPr>
        <w:t xml:space="preserve">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допустимая температура нагрева изоляции;</w:t>
      </w:r>
    </w:p>
    <w:p w:rsidR="00DA53CD" w:rsidRPr="004C0AA9" w:rsidRDefault="00B7072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4C0AA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har</w:t>
      </w:r>
      <w:r w:rsidRPr="004C0AA9">
        <w:rPr>
          <w:rFonts w:ascii="Times New Roman" w:hAnsi="Times New Roman" w:cs="Times New Roman"/>
          <w:sz w:val="24"/>
          <w:szCs w:val="24"/>
        </w:rPr>
        <w:t xml:space="preserve">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продолжительность периода воздействия гармоник на изоляцию (суммарная длительность существования дугового замыкания на землю за рассматриваемый период времени </w:t>
      </w:r>
      <w:r w:rsidR="00DA53CD"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);</w:t>
      </w:r>
    </w:p>
    <w:p w:rsidR="00DA53CD" w:rsidRPr="004C0AA9" w:rsidRDefault="00B7072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4C0AA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</w:t>
      </w:r>
      <w:r w:rsidRPr="004C0AA9">
        <w:rPr>
          <w:rFonts w:ascii="Times New Roman" w:hAnsi="Times New Roman" w:cs="Times New Roman"/>
          <w:sz w:val="24"/>
          <w:szCs w:val="24"/>
        </w:rPr>
        <w:t xml:space="preserve">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число часов использования максимума нагрузки данного оборудования в рассматриваемый промежуток времени.</w:t>
      </w:r>
    </w:p>
    <w:p w:rsidR="00DA53CD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Данная формула позволяет оценить увеличение аварийности конкретного энергетического оборудования со своим значением потока отказов </w:t>
      </w:r>
      <w:r w:rsidR="00B7072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ω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и справедлива при условии, что фактическая температура нагрева изоляции в результате воздействия гармонических составляющих превысила допустимую температуру нагрева изоляции, то есть</w:t>
      </w:r>
      <w:r w:rsidR="00B7072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7072D" w:rsidRPr="004C0AA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B7072D" w:rsidRPr="004C0AA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ins</w:t>
      </w:r>
      <w:r w:rsidR="00B7072D" w:rsidRPr="004C0AA9">
        <w:rPr>
          <w:rFonts w:ascii="Times New Roman" w:hAnsi="Times New Roman" w:cs="Times New Roman"/>
          <w:sz w:val="24"/>
          <w:szCs w:val="24"/>
        </w:rPr>
        <w:t>&gt;</w:t>
      </w:r>
      <w:r w:rsidR="00B7072D" w:rsidRPr="004C0AA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B7072D" w:rsidRPr="004C0AA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r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. В противном случае, будет отсутствовать перегрев изоляции, а значит и её ненормативное старение.</w:t>
      </w:r>
    </w:p>
    <w:p w:rsidR="00DA53CD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Иными словами:</w:t>
      </w:r>
    </w:p>
    <w:p w:rsidR="000E7C61" w:rsidRPr="004C0AA9" w:rsidRDefault="00B7072D" w:rsidP="004C0AA9">
      <w:pPr>
        <w:pStyle w:val="MTDisplayEquation"/>
        <w:spacing w:after="0" w:line="240" w:lineRule="auto"/>
        <w:ind w:firstLine="720"/>
        <w:rPr>
          <w:sz w:val="24"/>
          <w:szCs w:val="24"/>
        </w:rPr>
      </w:pPr>
      <w:r w:rsidRPr="004C0AA9">
        <w:rPr>
          <w:sz w:val="24"/>
          <w:szCs w:val="24"/>
        </w:rPr>
        <w:lastRenderedPageBreak/>
        <w:tab/>
      </w:r>
      <w:r w:rsidR="000E7C61" w:rsidRPr="004C0AA9">
        <w:rPr>
          <w:sz w:val="24"/>
          <w:szCs w:val="24"/>
        </w:rPr>
        <w:object w:dxaOrig="5800" w:dyaOrig="1300">
          <v:shape id="_x0000_i1033" type="#_x0000_t75" style="width:289.5pt;height:64.5pt" o:ole="">
            <v:imagedata r:id="rId22" o:title=""/>
          </v:shape>
          <o:OLEObject Type="Embed" ProgID="Equation.DSMT4" ShapeID="_x0000_i1033" DrawAspect="Content" ObjectID="_1636538342" r:id="rId23"/>
        </w:object>
      </w:r>
    </w:p>
    <w:p w:rsidR="00DA53CD" w:rsidRPr="004C0AA9" w:rsidRDefault="00D55E8B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5E8B">
        <w:rPr>
          <w:rFonts w:ascii="Times New Roman" w:eastAsiaTheme="minorEastAsia" w:hAnsi="Times New Roman" w:cs="Times New Roman"/>
          <w:b/>
          <w:sz w:val="24"/>
          <w:szCs w:val="24"/>
        </w:rPr>
        <w:t>Компенсированная нейтраль.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Установка дугогасящего реактора в нейтраль вызывает снижение ёмкостного тока сети на величину индуктивного тока реактора. При этом, в случае однофазного замыкания на землю, ток в месте замыкания становится достаточно мал, что может привести к быстрому самопогасанию дуги, а также уменьшает общую энергию колебательного контура, снижая сопутствующие режиму однофазного дугового замыкания на землю перенапряжения. </w:t>
      </w:r>
    </w:p>
    <w:p w:rsidR="00DA53CD" w:rsidRPr="004C0AA9" w:rsidRDefault="004152F1" w:rsidP="004152F1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Однако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такая ситуация наблюдается только в случае точной настройки дугогасящего реактора, </w:t>
      </w:r>
      <w:r>
        <w:rPr>
          <w:rFonts w:ascii="Times New Roman" w:eastAsiaTheme="minorEastAsia" w:hAnsi="Times New Roman" w:cs="Times New Roman"/>
          <w:sz w:val="24"/>
          <w:szCs w:val="24"/>
        </w:rPr>
        <w:t>что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возможно только при автоматической подстройке индуктивности реактора в зависимости от изменения ёмкости сети. Такие установки достаточно дороги и, даже после установки их в нейтраль, очень сложно добиться полной компенсации. </w:t>
      </w:r>
    </w:p>
    <w:p w:rsidR="00DA53CD" w:rsidRPr="004C0AA9" w:rsidRDefault="004152F1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Кроме того,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эффективность дугогасящих реакторов с точки зрения снижения кратностей перенапряжений падает при несимметрии в сети [</w:t>
      </w:r>
      <w:r w:rsidR="00A86346" w:rsidRPr="004C0AA9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].</w: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В [</w:t>
      </w:r>
      <w:r w:rsidR="00A86346" w:rsidRPr="004C0AA9">
        <w:rPr>
          <w:rFonts w:ascii="Times New Roman" w:eastAsiaTheme="minorEastAsia" w:hAnsi="Times New Roman" w:cs="Times New Roman"/>
          <w:sz w:val="24"/>
          <w:szCs w:val="24"/>
        </w:rPr>
        <w:t>7, 8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] отмечается, что установка в нейтраль сети дугогасящего реактора ведёт к некоторому снижению кратностей перенапряжений в режиме однофазного замыкания на землю в сравнении с реж</w:t>
      </w:r>
      <w:r w:rsidR="00A86346" w:rsidRPr="004C0AA9">
        <w:rPr>
          <w:rFonts w:ascii="Times New Roman" w:eastAsiaTheme="minorEastAsia" w:hAnsi="Times New Roman" w:cs="Times New Roman"/>
          <w:sz w:val="24"/>
          <w:szCs w:val="24"/>
        </w:rPr>
        <w:t>имом изолированной нейтрали</w:t>
      </w:r>
      <w:r w:rsidR="004152F1">
        <w:rPr>
          <w:rFonts w:ascii="Times New Roman" w:eastAsiaTheme="minorEastAsia" w:hAnsi="Times New Roman" w:cs="Times New Roman"/>
          <w:sz w:val="24"/>
          <w:szCs w:val="24"/>
        </w:rPr>
        <w:t xml:space="preserve"> при резоннанасной настройке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и практически отсутствии несимметрии сети. </w:t>
      </w:r>
    </w:p>
    <w:p w:rsidR="00DA53CD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В [</w:t>
      </w:r>
      <w:r w:rsidR="00A86346" w:rsidRPr="004C0AA9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] отмечается, что в таких условиях кратность перенапряжений составит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2,6÷2,8</m:t>
        </m:r>
      </m:oMath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от уровня номинального напряжения</w:t>
      </w:r>
      <w:r w:rsidR="00A86346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86346"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 w:rsidR="00A86346"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r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. В то же время в режиме изолированной нейтрали, кратности перенапряжений достигают уровня</w:t>
      </w:r>
      <w:r w:rsidR="00A86346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4∙</w:t>
      </w:r>
      <w:r w:rsidR="00A86346"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 w:rsidR="00A86346"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r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. При этом, </w:t>
      </w:r>
      <w:r w:rsidR="00A86346" w:rsidRPr="004C0AA9">
        <w:rPr>
          <w:rFonts w:ascii="Times New Roman" w:eastAsiaTheme="minorEastAsia" w:hAnsi="Times New Roman" w:cs="Times New Roman"/>
          <w:sz w:val="24"/>
          <w:szCs w:val="24"/>
        </w:rPr>
        <w:t>можно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принять, что в существующих сетях точная компенсация встречается не более, чем в 50% случаев. </w:t>
      </w:r>
    </w:p>
    <w:p w:rsidR="00DA53CD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Примем, что кратность перенапряжений при установке корректно настроенного д</w:t>
      </w:r>
      <w:r w:rsidR="00A86346" w:rsidRPr="004C0AA9">
        <w:rPr>
          <w:rFonts w:ascii="Times New Roman" w:eastAsiaTheme="minorEastAsia" w:hAnsi="Times New Roman" w:cs="Times New Roman"/>
          <w:sz w:val="24"/>
          <w:szCs w:val="24"/>
        </w:rPr>
        <w:t>угогасящего реактора составит 2,6∙</w:t>
      </w:r>
      <w:r w:rsidR="00A86346"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 w:rsidR="00A86346"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r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, в то время как кратности перенапряжений при изолированной нейтрали равна </w:t>
      </w:r>
      <w:r w:rsidR="00A86346" w:rsidRPr="004C0AA9">
        <w:rPr>
          <w:rFonts w:ascii="Times New Roman" w:eastAsiaTheme="minorEastAsia" w:hAnsi="Times New Roman" w:cs="Times New Roman"/>
          <w:sz w:val="24"/>
          <w:szCs w:val="24"/>
        </w:rPr>
        <w:t>4∙</w:t>
      </w:r>
      <w:r w:rsidR="00A86346"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 w:rsidR="00A86346"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r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A53CD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Таким образом можно получить выражение, характеризующее снижение аварийности распределительных линий по причине перенапряжений, в случае установки дугогасящего реактора с точной резонансной настройкой, относительно режима изолированной нейтрали:</w:t>
      </w:r>
    </w:p>
    <w:p w:rsidR="00DA53CD" w:rsidRPr="004C0AA9" w:rsidRDefault="00BD3DF0" w:rsidP="004C0AA9">
      <w:pPr>
        <w:pStyle w:val="MTDisplayEquation"/>
        <w:spacing w:after="0" w:line="240" w:lineRule="auto"/>
        <w:ind w:firstLine="720"/>
        <w:rPr>
          <w:sz w:val="24"/>
          <w:szCs w:val="24"/>
        </w:rPr>
      </w:pPr>
      <w:r w:rsidRPr="004C0AA9">
        <w:rPr>
          <w:sz w:val="24"/>
          <w:szCs w:val="24"/>
        </w:rPr>
        <w:tab/>
      </w:r>
      <w:r w:rsidRPr="004C0AA9">
        <w:rPr>
          <w:position w:val="-34"/>
          <w:sz w:val="24"/>
          <w:szCs w:val="24"/>
        </w:rPr>
        <w:object w:dxaOrig="7180" w:dyaOrig="820">
          <v:shape id="_x0000_i1034" type="#_x0000_t75" style="width:358.5pt;height:40.5pt" o:ole="">
            <v:imagedata r:id="rId24" o:title=""/>
          </v:shape>
          <o:OLEObject Type="Embed" ProgID="Equation.DSMT4" ShapeID="_x0000_i1034" DrawAspect="Content" ObjectID="_1636538343" r:id="rId25"/>
        </w:objec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С точки зрения феррорезонансных явлений, режим компенсированной нейтрали практически не даёт снижения аварийности по сравнению с сетями с изолированной нейтралью. Более того, так как магнитопровод реактора сам подвержен феррорезонансным явлениям, аварийность в некоторых случаях может даже увеличиться.</w: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Исходя из вышесказанного, для сети с резонансным заземлением нейтрали можно принять, что аварийность трансформаторов напряжения в ней равна аварийности трансформаторов напряжения в сети с изолированной нейтралью, то есть:</w:t>
      </w:r>
    </w:p>
    <w:p w:rsidR="00DA53CD" w:rsidRPr="004C0AA9" w:rsidRDefault="00BD3DF0" w:rsidP="004C0AA9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hAnsi="Times New Roman" w:cs="Times New Roman"/>
          <w:position w:val="-16"/>
          <w:sz w:val="24"/>
          <w:szCs w:val="24"/>
        </w:rPr>
        <w:object w:dxaOrig="2980" w:dyaOrig="440">
          <v:shape id="_x0000_i1035" type="#_x0000_t75" style="width:148.5pt;height:22.5pt" o:ole="">
            <v:imagedata r:id="rId26" o:title=""/>
          </v:shape>
          <o:OLEObject Type="Embed" ProgID="Equation.DSMT4" ShapeID="_x0000_i1035" DrawAspect="Content" ObjectID="_1636538344" r:id="rId27"/>
        </w:object>
      </w:r>
    </w:p>
    <w:p w:rsidR="00DA53CD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Дугогасящий реактор в режиме однофазного замыкания на землю компенсирует только составляющую тока промышленной частоты. Поэтому положительного влияния на гармонический состав тока при замыкании он не оказывает. </w:t>
      </w:r>
    </w:p>
    <w:p w:rsidR="00DA53CD" w:rsidRPr="004C0AA9" w:rsidRDefault="00DA53CD" w:rsidP="00D55E8B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Сам дугогасящий реактор имеет практически линейную вольт-амперную характеристику. Однако, при повышенном напряжении и большом токе компенсации, его вольт-амперная характеристика имеет небольшую нелинейность. В таком режиме уровень высших гармоник, создаваемых дугогасящим реактором составляет 1-1.5% от величины компенсируемого тока [</w:t>
      </w:r>
      <w:r w:rsidR="00BD3DF0" w:rsidRPr="004C0AA9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BD3DF0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Ввиду малой величины вносимых гармонических составляющих, а также учитывая, что они возникают только при предельных значениях тока и напряжения на реакторе, можно принять, что влияние гармонических составляющих в сети с 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компенсированной нейтралью на потребителей электроэнергии и распределительные линии соответствует этому влиянию в </w:t>
      </w:r>
      <w:r w:rsidR="00D55E8B">
        <w:rPr>
          <w:rFonts w:ascii="Times New Roman" w:eastAsiaTheme="minorEastAsia" w:hAnsi="Times New Roman" w:cs="Times New Roman"/>
          <w:sz w:val="24"/>
          <w:szCs w:val="24"/>
        </w:rPr>
        <w:t>сети с изолированной нейтралью.</w:t>
      </w:r>
    </w:p>
    <w:p w:rsidR="00DA53CD" w:rsidRPr="004C0AA9" w:rsidRDefault="00D55E8B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5E8B">
        <w:rPr>
          <w:rFonts w:ascii="Times New Roman" w:eastAsiaTheme="minorEastAsia" w:hAnsi="Times New Roman" w:cs="Times New Roman"/>
          <w:b/>
          <w:sz w:val="24"/>
          <w:szCs w:val="24"/>
        </w:rPr>
        <w:t>Резистивно заземленная нейтраль.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При высокоомном заземлении нейтрали, в цепь между нейтральной точкой трансформатора и землёй включают большое активное сопротивление. </w:t>
      </w:r>
    </w:p>
    <w:p w:rsidR="00DA53CD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В отличие от режимов изолированной и компенсированной нейтрали, при возникновении однофазного замыкания на землю в сети с высокоомным заземлением нейтрали, ток замыкания течёт </w:t>
      </w:r>
      <w:r w:rsidR="00991049" w:rsidRPr="004C0AA9">
        <w:rPr>
          <w:rFonts w:ascii="Times New Roman" w:eastAsiaTheme="minorEastAsia" w:hAnsi="Times New Roman" w:cs="Times New Roman"/>
          <w:sz w:val="24"/>
          <w:szCs w:val="24"/>
        </w:rPr>
        <w:t>по контуру, имеющему не только ё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мкостную и индуктивную, но ещё и активную составляющую.</w:t>
      </w:r>
    </w:p>
    <w:p w:rsidR="00DA53CD" w:rsidRPr="004C0AA9" w:rsidRDefault="00DA53CD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При возникновении дуги в сети с высокоомным заземлением нейтрали, часть энергии замыкания рассеивается в виде тепла в резисторе, а в момент погасания дуги избыточный заряд, вызванный смещением нейтрали сети при замыкании, через резистор успевает стечь на землю. Та</w:t>
      </w:r>
      <w:r w:rsidR="00716A03" w:rsidRPr="004C0AA9">
        <w:rPr>
          <w:rFonts w:ascii="Times New Roman" w:eastAsiaTheme="minorEastAsia" w:hAnsi="Times New Roman" w:cs="Times New Roman"/>
          <w:sz w:val="24"/>
          <w:szCs w:val="24"/>
        </w:rPr>
        <w:t>к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им образом обеспечивается рассеяние избыточной энергии замыкания, и она не идёт на увеличение кратностей перенапряжений, возникающих при однофазном дуговом замыкании на землю. За счёт этого уровень перенапряжений в сети с высокоомным резистивным заземлением при однофазном дуговом замыкании н</w:t>
      </w:r>
      <w:r w:rsidR="00991049" w:rsidRPr="004C0AA9">
        <w:rPr>
          <w:rFonts w:ascii="Times New Roman" w:eastAsiaTheme="minorEastAsia" w:hAnsi="Times New Roman" w:cs="Times New Roman"/>
          <w:sz w:val="24"/>
          <w:szCs w:val="24"/>
        </w:rPr>
        <w:t>а землю не превышает значений (2,2÷2,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991049" w:rsidRPr="004C0AA9">
        <w:rPr>
          <w:rFonts w:ascii="Times New Roman" w:eastAsiaTheme="minorEastAsia" w:hAnsi="Times New Roman" w:cs="Times New Roman"/>
          <w:sz w:val="24"/>
          <w:szCs w:val="24"/>
        </w:rPr>
        <w:t>)∙</w:t>
      </w:r>
      <w:r w:rsidR="00991049" w:rsidRPr="004C0A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 w:rsidR="00991049" w:rsidRPr="004C0AA9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r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w:r w:rsidR="00991049" w:rsidRPr="004C0AA9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].</w:t>
      </w:r>
    </w:p>
    <w:p w:rsidR="00DA53CD" w:rsidRPr="004C0AA9" w:rsidRDefault="00521868" w:rsidP="004C0AA9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оспользовавшись </w:t>
      </w:r>
      <w:r w:rsidR="00991049" w:rsidRPr="004C0AA9">
        <w:rPr>
          <w:rFonts w:ascii="Times New Roman" w:eastAsiaTheme="minorEastAsia" w:hAnsi="Times New Roman" w:cs="Times New Roman"/>
          <w:sz w:val="24"/>
          <w:szCs w:val="24"/>
        </w:rPr>
        <w:t>ранее полученной формулой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и учитывая, что при высокоомном резистивном заземлении нейтрали снижение кратностей перенапряжений происходит в 100% случаев однофазных замыканий на землю, </w:t>
      </w:r>
      <w:r w:rsidR="001D2273" w:rsidRPr="004C0AA9">
        <w:rPr>
          <w:rFonts w:ascii="Times New Roman" w:eastAsiaTheme="minorEastAsia" w:hAnsi="Times New Roman" w:cs="Times New Roman"/>
          <w:sz w:val="24"/>
          <w:szCs w:val="24"/>
        </w:rPr>
        <w:t>можно записать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A53CD" w:rsidRPr="004C0AA9" w:rsidRDefault="00991049" w:rsidP="004C0AA9">
      <w:pPr>
        <w:pStyle w:val="MTDisplayEquation"/>
        <w:spacing w:after="0" w:line="240" w:lineRule="auto"/>
        <w:ind w:firstLine="720"/>
        <w:rPr>
          <w:sz w:val="24"/>
          <w:szCs w:val="24"/>
        </w:rPr>
      </w:pPr>
      <w:r w:rsidRPr="004C0AA9">
        <w:rPr>
          <w:sz w:val="24"/>
          <w:szCs w:val="24"/>
        </w:rPr>
        <w:tab/>
      </w:r>
      <w:r w:rsidR="008A2A6D" w:rsidRPr="004C0AA9">
        <w:rPr>
          <w:position w:val="-34"/>
          <w:sz w:val="24"/>
          <w:szCs w:val="24"/>
        </w:rPr>
        <w:object w:dxaOrig="6180" w:dyaOrig="820">
          <v:shape id="_x0000_i1036" type="#_x0000_t75" style="width:309pt;height:40.5pt" o:ole="">
            <v:imagedata r:id="rId28" o:title=""/>
          </v:shape>
          <o:OLEObject Type="Embed" ProgID="Equation.DSMT4" ShapeID="_x0000_i1036" DrawAspect="Content" ObjectID="_1636538345" r:id="rId29"/>
        </w:object>
      </w:r>
    </w:p>
    <w:p w:rsidR="00DA53CD" w:rsidRPr="004C0AA9" w:rsidRDefault="001D2273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Отсюда видно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, что число отказов кабельных и воздушных линий распределительных сетей при резистивном высокоомном заземлении нейтрали снизится на 75% относительно сетей с изолированной нейтралью. </w:t>
      </w:r>
    </w:p>
    <w:p w:rsidR="008A2A6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В сетях с резистивным заземлением нейтрали в цепь нулевой последовательности вводится активная составляющая. За счёт этого наступление ситуации, в которой могут выполняться условия начала резонансных явлений практически невозможно. Таким образом в сети с высокоомным резистивным заземлением нейтрали исключается возможность наступления феррорезонанса в трансформаторах напряжения, то есть для этих сетей справедливо равенство:</w:t>
      </w:r>
    </w:p>
    <w:p w:rsidR="00DA53CD" w:rsidRPr="004C0AA9" w:rsidRDefault="008A2A6D" w:rsidP="004C0AA9">
      <w:pPr>
        <w:pStyle w:val="MTDisplayEquation"/>
        <w:spacing w:after="0" w:line="240" w:lineRule="auto"/>
        <w:ind w:firstLine="720"/>
        <w:rPr>
          <w:sz w:val="24"/>
          <w:szCs w:val="24"/>
          <w:lang w:val="en-US"/>
        </w:rPr>
      </w:pPr>
      <w:r w:rsidRPr="004C0AA9">
        <w:rPr>
          <w:sz w:val="24"/>
          <w:szCs w:val="24"/>
        </w:rPr>
        <w:tab/>
      </w:r>
      <w:r w:rsidRPr="004C0AA9">
        <w:rPr>
          <w:position w:val="-12"/>
          <w:sz w:val="24"/>
          <w:szCs w:val="24"/>
          <w:lang w:val="en-US"/>
        </w:rPr>
        <w:object w:dxaOrig="1120" w:dyaOrig="380">
          <v:shape id="_x0000_i1037" type="#_x0000_t75" style="width:55.5pt;height:19.5pt" o:ole="">
            <v:imagedata r:id="rId30" o:title=""/>
          </v:shape>
          <o:OLEObject Type="Embed" ProgID="Equation.DSMT4" ShapeID="_x0000_i1037" DrawAspect="Content" ObjectID="_1636538346" r:id="rId31"/>
        </w:object>
      </w:r>
    </w:p>
    <w:p w:rsidR="00DA53CD" w:rsidRPr="004C0AA9" w:rsidRDefault="008A2A6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П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ри резистивном заземлении нейтрали наблюдается снижение величины и состава гармонических составляющих, присутствующих в токе однофазного замыкания на землю. Саму величину этого снижения нужно оценива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ть в каждом конкретном случае. 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>В рамках данной работы, опираясь на данные натурного исследования [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521868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DA53CD" w:rsidRPr="004C0AA9">
        <w:rPr>
          <w:rFonts w:ascii="Times New Roman" w:eastAsiaTheme="minorEastAsia" w:hAnsi="Times New Roman" w:cs="Times New Roman"/>
          <w:sz w:val="24"/>
          <w:szCs w:val="24"/>
        </w:rPr>
        <w:t xml:space="preserve">], можно принять, что при резистивном заземлении нейтрали наблюдается снижение величины гармонических составляющих, возникающих при дуговом однофазном замыкании на землю, в два раза. </w:t>
      </w:r>
    </w:p>
    <w:p w:rsidR="00DA53CD" w:rsidRPr="004C0AA9" w:rsidRDefault="00DA53CD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0AA9">
        <w:rPr>
          <w:rFonts w:ascii="Times New Roman" w:eastAsiaTheme="minorEastAsia" w:hAnsi="Times New Roman" w:cs="Times New Roman"/>
          <w:sz w:val="24"/>
          <w:szCs w:val="24"/>
        </w:rPr>
        <w:t>Тогда можно записать следующее выражение:</w:t>
      </w:r>
    </w:p>
    <w:p w:rsidR="008A2A6D" w:rsidRPr="004C0AA9" w:rsidRDefault="008A2A6D" w:rsidP="004C0AA9">
      <w:pPr>
        <w:pStyle w:val="MTDisplayEquation"/>
        <w:spacing w:after="0" w:line="240" w:lineRule="auto"/>
        <w:ind w:firstLine="720"/>
        <w:rPr>
          <w:sz w:val="24"/>
          <w:szCs w:val="24"/>
        </w:rPr>
      </w:pPr>
      <w:r w:rsidRPr="004C0AA9">
        <w:rPr>
          <w:sz w:val="24"/>
          <w:szCs w:val="24"/>
        </w:rPr>
        <w:tab/>
      </w:r>
      <w:r w:rsidRPr="004C0AA9">
        <w:rPr>
          <w:position w:val="-34"/>
          <w:sz w:val="24"/>
          <w:szCs w:val="24"/>
        </w:rPr>
        <w:object w:dxaOrig="5040" w:dyaOrig="820">
          <v:shape id="_x0000_i1038" type="#_x0000_t75" style="width:252pt;height:40.5pt" o:ole="">
            <v:imagedata r:id="rId32" o:title=""/>
          </v:shape>
          <o:OLEObject Type="Embed" ProgID="Equation.DSMT4" ShapeID="_x0000_i1038" DrawAspect="Content" ObjectID="_1636538347" r:id="rId33"/>
        </w:object>
      </w:r>
    </w:p>
    <w:p w:rsidR="00C53612" w:rsidRPr="004C0AA9" w:rsidRDefault="00521868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21868">
        <w:rPr>
          <w:rFonts w:ascii="Times New Roman" w:eastAsiaTheme="minorEastAsia" w:hAnsi="Times New Roman" w:cs="Times New Roman"/>
          <w:b/>
          <w:sz w:val="24"/>
          <w:szCs w:val="24"/>
        </w:rPr>
        <w:t>Вывод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ы.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Н</w:t>
      </w:r>
      <w:r w:rsidRPr="004C0AA9">
        <w:rPr>
          <w:rFonts w:ascii="Times New Roman" w:eastAsiaTheme="minorEastAsia" w:hAnsi="Times New Roman" w:cs="Times New Roman"/>
          <w:sz w:val="24"/>
          <w:szCs w:val="24"/>
        </w:rPr>
        <w:t>аиболее аварийным режимом заземления является режим изолированной нейтрали. Режим компенсированной нейтрали даёт 30%-е снижение аварийности при резонансной настройке и автоматическом регулировании индуктивности реактора. Самым перспективным и надёжным решением является использование резистивного заземления нейтрали. При таком режиме заземления происходит 75%-е снижение аварийности от перенапряжений, исключается возможность возникновения феррорезонансных явлений, а также наблюдается двукратное снижение величины гармонических составляющих в токе однофазного замыкания на землю.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3612" w:rsidRPr="004C0AA9">
        <w:rPr>
          <w:rFonts w:ascii="Times New Roman" w:eastAsiaTheme="minorEastAsia" w:hAnsi="Times New Roman" w:cs="Times New Roman"/>
          <w:sz w:val="24"/>
          <w:szCs w:val="24"/>
        </w:rPr>
        <w:t>Результаты проведённого анализа представлены в таблице 2.</w:t>
      </w:r>
    </w:p>
    <w:p w:rsidR="00C53612" w:rsidRPr="00521868" w:rsidRDefault="00C53612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521868">
        <w:rPr>
          <w:rFonts w:ascii="Times New Roman" w:eastAsiaTheme="minorEastAsia" w:hAnsi="Times New Roman" w:cs="Times New Roman"/>
          <w:i/>
          <w:sz w:val="24"/>
          <w:szCs w:val="24"/>
        </w:rPr>
        <w:lastRenderedPageBreak/>
        <w:t>Таблица 2 – Результаты анализа</w:t>
      </w:r>
    </w:p>
    <w:tbl>
      <w:tblPr>
        <w:tblStyle w:val="a5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2268"/>
        <w:gridCol w:w="1985"/>
        <w:gridCol w:w="2551"/>
      </w:tblGrid>
      <w:tr w:rsidR="00067E28" w:rsidRPr="00F553A9" w:rsidTr="00A44456">
        <w:tc>
          <w:tcPr>
            <w:tcW w:w="2551" w:type="dxa"/>
            <w:vMerge w:val="restart"/>
            <w:vAlign w:val="center"/>
          </w:tcPr>
          <w:p w:rsidR="00C53612" w:rsidRPr="00F553A9" w:rsidRDefault="00C53612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eastAsiaTheme="minorEastAsia" w:hAnsi="Times New Roman" w:cs="Times New Roman"/>
              </w:rPr>
              <w:t>Режим заземления нейтрали</w:t>
            </w:r>
          </w:p>
        </w:tc>
        <w:tc>
          <w:tcPr>
            <w:tcW w:w="6804" w:type="dxa"/>
            <w:gridSpan w:val="3"/>
            <w:vAlign w:val="center"/>
          </w:tcPr>
          <w:p w:rsidR="00C53612" w:rsidRPr="00F553A9" w:rsidRDefault="00C53612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eastAsiaTheme="minorEastAsia" w:hAnsi="Times New Roman" w:cs="Times New Roman"/>
              </w:rPr>
              <w:t>Негативные факторы</w:t>
            </w:r>
          </w:p>
        </w:tc>
      </w:tr>
      <w:tr w:rsidR="0017318A" w:rsidRPr="00F553A9" w:rsidTr="00A44456">
        <w:tc>
          <w:tcPr>
            <w:tcW w:w="2551" w:type="dxa"/>
            <w:vMerge/>
            <w:vAlign w:val="center"/>
          </w:tcPr>
          <w:p w:rsidR="00C53612" w:rsidRPr="00F553A9" w:rsidRDefault="00C53612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53612" w:rsidRPr="00F553A9" w:rsidRDefault="00C53612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eastAsiaTheme="minorEastAsia" w:hAnsi="Times New Roman" w:cs="Times New Roman"/>
              </w:rPr>
              <w:t>Перенапряжения</w:t>
            </w:r>
          </w:p>
        </w:tc>
        <w:tc>
          <w:tcPr>
            <w:tcW w:w="1985" w:type="dxa"/>
            <w:vAlign w:val="center"/>
          </w:tcPr>
          <w:p w:rsidR="00C53612" w:rsidRPr="00F553A9" w:rsidRDefault="00C53612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eastAsiaTheme="minorEastAsia" w:hAnsi="Times New Roman" w:cs="Times New Roman"/>
              </w:rPr>
              <w:t>Феррорезонанс</w:t>
            </w:r>
          </w:p>
        </w:tc>
        <w:tc>
          <w:tcPr>
            <w:tcW w:w="2551" w:type="dxa"/>
            <w:vAlign w:val="center"/>
          </w:tcPr>
          <w:p w:rsidR="00C53612" w:rsidRPr="00F553A9" w:rsidRDefault="00C53612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eastAsiaTheme="minorEastAsia" w:hAnsi="Times New Roman" w:cs="Times New Roman"/>
              </w:rPr>
              <w:t>Гармонические составляющие</w:t>
            </w:r>
          </w:p>
        </w:tc>
      </w:tr>
      <w:tr w:rsidR="00C53612" w:rsidRPr="00F553A9" w:rsidTr="00A44456">
        <w:tc>
          <w:tcPr>
            <w:tcW w:w="2551" w:type="dxa"/>
            <w:vAlign w:val="center"/>
          </w:tcPr>
          <w:p w:rsidR="00C53612" w:rsidRPr="00F553A9" w:rsidRDefault="00C53612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eastAsiaTheme="minorEastAsia" w:hAnsi="Times New Roman" w:cs="Times New Roman"/>
              </w:rPr>
              <w:t>Изолированная нейтраль</w:t>
            </w:r>
          </w:p>
        </w:tc>
        <w:tc>
          <w:tcPr>
            <w:tcW w:w="2268" w:type="dxa"/>
            <w:vAlign w:val="center"/>
          </w:tcPr>
          <w:p w:rsidR="00C53612" w:rsidRPr="00F553A9" w:rsidRDefault="00A44456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hAnsi="Times New Roman" w:cs="Times New Roman"/>
                <w:position w:val="-12"/>
              </w:rPr>
              <w:object w:dxaOrig="639" w:dyaOrig="380">
                <v:shape id="_x0000_i1039" type="#_x0000_t75" style="width:23.25pt;height:14.25pt" o:ole="">
                  <v:imagedata r:id="rId34" o:title=""/>
                </v:shape>
                <o:OLEObject Type="Embed" ProgID="Equation.DSMT4" ShapeID="_x0000_i1039" DrawAspect="Content" ObjectID="_1636538348" r:id="rId35"/>
              </w:object>
            </w:r>
          </w:p>
        </w:tc>
        <w:tc>
          <w:tcPr>
            <w:tcW w:w="1985" w:type="dxa"/>
            <w:vAlign w:val="center"/>
          </w:tcPr>
          <w:p w:rsidR="00C53612" w:rsidRPr="00F553A9" w:rsidRDefault="00A44456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hAnsi="Times New Roman" w:cs="Times New Roman"/>
                <w:position w:val="-12"/>
              </w:rPr>
              <w:object w:dxaOrig="660" w:dyaOrig="380">
                <v:shape id="_x0000_i1040" type="#_x0000_t75" style="width:21.75pt;height:12.75pt" o:ole="">
                  <v:imagedata r:id="rId36" o:title=""/>
                </v:shape>
                <o:OLEObject Type="Embed" ProgID="Equation.DSMT4" ShapeID="_x0000_i1040" DrawAspect="Content" ObjectID="_1636538349" r:id="rId37"/>
              </w:object>
            </w:r>
          </w:p>
        </w:tc>
        <w:tc>
          <w:tcPr>
            <w:tcW w:w="2551" w:type="dxa"/>
            <w:vAlign w:val="center"/>
          </w:tcPr>
          <w:p w:rsidR="00C53612" w:rsidRPr="00F553A9" w:rsidRDefault="00A44456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hAnsi="Times New Roman" w:cs="Times New Roman"/>
                <w:position w:val="-12"/>
              </w:rPr>
              <w:object w:dxaOrig="660" w:dyaOrig="380">
                <v:shape id="_x0000_i1041" type="#_x0000_t75" style="width:24.75pt;height:15pt" o:ole="">
                  <v:imagedata r:id="rId38" o:title=""/>
                </v:shape>
                <o:OLEObject Type="Embed" ProgID="Equation.DSMT4" ShapeID="_x0000_i1041" DrawAspect="Content" ObjectID="_1636538350" r:id="rId39"/>
              </w:object>
            </w:r>
          </w:p>
        </w:tc>
      </w:tr>
      <w:tr w:rsidR="00C53612" w:rsidRPr="00F553A9" w:rsidTr="00A44456">
        <w:tc>
          <w:tcPr>
            <w:tcW w:w="2551" w:type="dxa"/>
            <w:vAlign w:val="center"/>
          </w:tcPr>
          <w:p w:rsidR="00C53612" w:rsidRPr="00F553A9" w:rsidRDefault="00C53612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eastAsiaTheme="minorEastAsia" w:hAnsi="Times New Roman" w:cs="Times New Roman"/>
              </w:rPr>
              <w:t>Компенсированная нейтраль</w:t>
            </w:r>
          </w:p>
        </w:tc>
        <w:tc>
          <w:tcPr>
            <w:tcW w:w="2268" w:type="dxa"/>
            <w:vAlign w:val="center"/>
          </w:tcPr>
          <w:p w:rsidR="00C53612" w:rsidRPr="00F553A9" w:rsidRDefault="00A44456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hAnsi="Times New Roman" w:cs="Times New Roman"/>
                <w:position w:val="-16"/>
              </w:rPr>
              <w:object w:dxaOrig="2060" w:dyaOrig="420">
                <v:shape id="_x0000_i1042" type="#_x0000_t75" style="width:77.25pt;height:17.25pt" o:ole="">
                  <v:imagedata r:id="rId40" o:title=""/>
                </v:shape>
                <o:OLEObject Type="Embed" ProgID="Equation.DSMT4" ShapeID="_x0000_i1042" DrawAspect="Content" ObjectID="_1636538351" r:id="rId41"/>
              </w:object>
            </w:r>
          </w:p>
        </w:tc>
        <w:tc>
          <w:tcPr>
            <w:tcW w:w="1985" w:type="dxa"/>
            <w:vAlign w:val="center"/>
          </w:tcPr>
          <w:p w:rsidR="00C53612" w:rsidRPr="00F553A9" w:rsidRDefault="00A44456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hAnsi="Times New Roman" w:cs="Times New Roman"/>
                <w:position w:val="-16"/>
              </w:rPr>
              <w:object w:dxaOrig="1620" w:dyaOrig="420">
                <v:shape id="_x0000_i1043" type="#_x0000_t75" style="width:57.75pt;height:18pt" o:ole="">
                  <v:imagedata r:id="rId42" o:title=""/>
                </v:shape>
                <o:OLEObject Type="Embed" ProgID="Equation.DSMT4" ShapeID="_x0000_i1043" DrawAspect="Content" ObjectID="_1636538352" r:id="rId43"/>
              </w:object>
            </w:r>
          </w:p>
        </w:tc>
        <w:tc>
          <w:tcPr>
            <w:tcW w:w="2551" w:type="dxa"/>
            <w:vAlign w:val="center"/>
          </w:tcPr>
          <w:p w:rsidR="00C53612" w:rsidRPr="00F553A9" w:rsidRDefault="00A44456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hAnsi="Times New Roman" w:cs="Times New Roman"/>
                <w:position w:val="-16"/>
              </w:rPr>
              <w:object w:dxaOrig="1600" w:dyaOrig="420">
                <v:shape id="_x0000_i1044" type="#_x0000_t75" style="width:54pt;height:16.5pt" o:ole="">
                  <v:imagedata r:id="rId44" o:title=""/>
                </v:shape>
                <o:OLEObject Type="Embed" ProgID="Equation.DSMT4" ShapeID="_x0000_i1044" DrawAspect="Content" ObjectID="_1636538353" r:id="rId45"/>
              </w:object>
            </w:r>
          </w:p>
        </w:tc>
      </w:tr>
      <w:tr w:rsidR="00C53612" w:rsidRPr="00F553A9" w:rsidTr="00A44456">
        <w:tc>
          <w:tcPr>
            <w:tcW w:w="2551" w:type="dxa"/>
            <w:vAlign w:val="center"/>
          </w:tcPr>
          <w:p w:rsidR="00C53612" w:rsidRPr="00F553A9" w:rsidRDefault="00A54F52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  <w:r w:rsidR="00C53612" w:rsidRPr="00F553A9">
              <w:rPr>
                <w:rFonts w:ascii="Times New Roman" w:eastAsiaTheme="minorEastAsia" w:hAnsi="Times New Roman" w:cs="Times New Roman"/>
              </w:rPr>
              <w:t>Резистивно-заземлённая нейтраль</w:t>
            </w:r>
          </w:p>
        </w:tc>
        <w:tc>
          <w:tcPr>
            <w:tcW w:w="2268" w:type="dxa"/>
            <w:vAlign w:val="center"/>
          </w:tcPr>
          <w:p w:rsidR="00C53612" w:rsidRPr="00F553A9" w:rsidRDefault="00A44456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hAnsi="Times New Roman" w:cs="Times New Roman"/>
                <w:position w:val="-12"/>
              </w:rPr>
              <w:object w:dxaOrig="2180" w:dyaOrig="380">
                <v:shape id="_x0000_i1045" type="#_x0000_t75" style="width:82.5pt;height:16.5pt" o:ole="">
                  <v:imagedata r:id="rId46" o:title=""/>
                </v:shape>
                <o:OLEObject Type="Embed" ProgID="Equation.DSMT4" ShapeID="_x0000_i1045" DrawAspect="Content" ObjectID="_1636538354" r:id="rId47"/>
              </w:object>
            </w:r>
          </w:p>
        </w:tc>
        <w:tc>
          <w:tcPr>
            <w:tcW w:w="1985" w:type="dxa"/>
            <w:vAlign w:val="center"/>
          </w:tcPr>
          <w:p w:rsidR="00C53612" w:rsidRPr="00F553A9" w:rsidRDefault="00067E28" w:rsidP="00F553A9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F553A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551" w:type="dxa"/>
            <w:vAlign w:val="center"/>
          </w:tcPr>
          <w:p w:rsidR="00C53612" w:rsidRPr="00F553A9" w:rsidRDefault="00A44456" w:rsidP="00F553A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553A9">
              <w:rPr>
                <w:rFonts w:ascii="Times New Roman" w:hAnsi="Times New Roman" w:cs="Times New Roman"/>
                <w:position w:val="-26"/>
              </w:rPr>
              <w:object w:dxaOrig="1600" w:dyaOrig="700">
                <v:shape id="_x0000_i1046" type="#_x0000_t75" style="width:58.5pt;height:27.75pt" o:ole="">
                  <v:imagedata r:id="rId48" o:title=""/>
                </v:shape>
                <o:OLEObject Type="Embed" ProgID="Equation.DSMT4" ShapeID="_x0000_i1046" DrawAspect="Content" ObjectID="_1636538355" r:id="rId49"/>
              </w:object>
            </w:r>
          </w:p>
        </w:tc>
      </w:tr>
    </w:tbl>
    <w:p w:rsidR="00C53612" w:rsidRPr="004C0AA9" w:rsidRDefault="00C53612" w:rsidP="004C0AA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31D" w:rsidRPr="00A44456" w:rsidRDefault="00A44456" w:rsidP="000B017F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A44456">
        <w:rPr>
          <w:rFonts w:ascii="Times New Roman" w:eastAsiaTheme="minorEastAsia" w:hAnsi="Times New Roman" w:cs="Times New Roman"/>
        </w:rPr>
        <w:t>Список л</w:t>
      </w:r>
      <w:r w:rsidR="00FE731D" w:rsidRPr="00A44456">
        <w:rPr>
          <w:rFonts w:ascii="Times New Roman" w:hAnsi="Times New Roman" w:cs="Times New Roman"/>
        </w:rPr>
        <w:t>итератур</w:t>
      </w:r>
      <w:r w:rsidRPr="00A44456">
        <w:rPr>
          <w:rFonts w:ascii="Times New Roman" w:hAnsi="Times New Roman" w:cs="Times New Roman"/>
        </w:rPr>
        <w:t>ы</w:t>
      </w:r>
    </w:p>
    <w:p w:rsidR="00FE731D" w:rsidRPr="00A44456" w:rsidRDefault="007E4CC1" w:rsidP="000B017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A44456">
        <w:rPr>
          <w:rFonts w:ascii="Times New Roman" w:hAnsi="Times New Roman" w:cs="Times New Roman"/>
        </w:rPr>
        <w:t xml:space="preserve">Указания по применению показателей надежности элементов энергосистем и работы энергоблоков с паротурбинными установками </w:t>
      </w:r>
      <w:r w:rsidRPr="007E4CC1">
        <w:rPr>
          <w:rFonts w:ascii="Times New Roman" w:hAnsi="Times New Roman" w:cs="Times New Roman"/>
        </w:rPr>
        <w:t>[Текст]</w:t>
      </w:r>
      <w:r>
        <w:rPr>
          <w:rFonts w:ascii="Times New Roman" w:hAnsi="Times New Roman" w:cs="Times New Roman"/>
        </w:rPr>
        <w:t xml:space="preserve">: </w:t>
      </w:r>
      <w:r w:rsidR="00FE731D" w:rsidRPr="007E4CC1">
        <w:rPr>
          <w:rFonts w:ascii="Times New Roman" w:hAnsi="Times New Roman" w:cs="Times New Roman"/>
        </w:rPr>
        <w:t>РД 34.20.574</w:t>
      </w:r>
      <w:r>
        <w:rPr>
          <w:rFonts w:ascii="Times New Roman" w:hAnsi="Times New Roman" w:cs="Times New Roman"/>
        </w:rPr>
        <w:t>: утв.</w:t>
      </w:r>
      <w:r w:rsidRPr="007E4CC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7E4CC1">
        <w:rPr>
          <w:rFonts w:ascii="Times New Roman" w:hAnsi="Times New Roman" w:cs="Times New Roman"/>
          <w:color w:val="333333"/>
          <w:shd w:val="clear" w:color="auto" w:fill="FFFFFF"/>
        </w:rPr>
        <w:t>Минэнерго СССР 03.09.1984</w:t>
      </w:r>
      <w:r>
        <w:rPr>
          <w:rFonts w:ascii="Times New Roman" w:hAnsi="Times New Roman" w:cs="Times New Roman"/>
          <w:color w:val="333333"/>
          <w:shd w:val="clear" w:color="auto" w:fill="FFFFFF"/>
        </w:rPr>
        <w:t>: действует.</w:t>
      </w:r>
    </w:p>
    <w:p w:rsidR="00FE731D" w:rsidRPr="00A44456" w:rsidRDefault="00FE731D" w:rsidP="000B017F">
      <w:pPr>
        <w:pStyle w:val="5"/>
        <w:numPr>
          <w:ilvl w:val="0"/>
          <w:numId w:val="2"/>
        </w:numPr>
        <w:tabs>
          <w:tab w:val="left" w:pos="993"/>
        </w:tabs>
        <w:spacing w:line="240" w:lineRule="auto"/>
        <w:ind w:left="0" w:firstLine="720"/>
        <w:rPr>
          <w:rFonts w:eastAsiaTheme="minorHAnsi"/>
          <w:sz w:val="22"/>
          <w:szCs w:val="22"/>
          <w:lang w:eastAsia="en-US"/>
        </w:rPr>
      </w:pPr>
      <w:r w:rsidRPr="00A44456">
        <w:rPr>
          <w:rFonts w:eastAsiaTheme="minorHAnsi"/>
          <w:sz w:val="22"/>
          <w:szCs w:val="22"/>
          <w:lang w:eastAsia="en-US"/>
        </w:rPr>
        <w:t>Лихачев</w:t>
      </w:r>
      <w:r w:rsidR="00C82C02">
        <w:rPr>
          <w:rFonts w:eastAsiaTheme="minorHAnsi"/>
          <w:sz w:val="22"/>
          <w:szCs w:val="22"/>
          <w:lang w:eastAsia="en-US"/>
        </w:rPr>
        <w:t>,</w:t>
      </w:r>
      <w:r w:rsidRPr="00A44456">
        <w:rPr>
          <w:rFonts w:eastAsiaTheme="minorHAnsi"/>
          <w:sz w:val="22"/>
          <w:szCs w:val="22"/>
          <w:lang w:eastAsia="en-US"/>
        </w:rPr>
        <w:t xml:space="preserve"> Ф.А. Инструкция по выбору, установке и эксплуатации дугогасящих катушек</w:t>
      </w:r>
      <w:r w:rsidR="00C82C02" w:rsidRPr="00C82C02">
        <w:rPr>
          <w:sz w:val="22"/>
          <w:szCs w:val="22"/>
        </w:rPr>
        <w:t xml:space="preserve"> </w:t>
      </w:r>
      <w:r w:rsidR="00C82C02" w:rsidRPr="00A65150">
        <w:rPr>
          <w:sz w:val="22"/>
          <w:szCs w:val="22"/>
        </w:rPr>
        <w:t>[</w:t>
      </w:r>
      <w:r w:rsidR="00C82C02">
        <w:rPr>
          <w:sz w:val="22"/>
          <w:szCs w:val="22"/>
        </w:rPr>
        <w:t>Текст</w:t>
      </w:r>
      <w:r w:rsidR="00C82C02" w:rsidRPr="00A65150">
        <w:rPr>
          <w:sz w:val="22"/>
          <w:szCs w:val="22"/>
        </w:rPr>
        <w:t>]</w:t>
      </w:r>
      <w:r w:rsidR="00C82C02" w:rsidRPr="00914E4F">
        <w:rPr>
          <w:sz w:val="22"/>
          <w:szCs w:val="22"/>
        </w:rPr>
        <w:t>.</w:t>
      </w:r>
      <w:r w:rsidR="00C82C02" w:rsidRPr="00D3225B">
        <w:rPr>
          <w:sz w:val="22"/>
          <w:szCs w:val="22"/>
        </w:rPr>
        <w:t xml:space="preserve"> </w:t>
      </w:r>
      <w:r w:rsidR="00C82C02" w:rsidRPr="00B75288">
        <w:rPr>
          <w:sz w:val="22"/>
          <w:szCs w:val="28"/>
          <w:shd w:val="clear" w:color="auto" w:fill="FFFFFF"/>
        </w:rPr>
        <w:t>–</w:t>
      </w:r>
      <w:r w:rsidR="00C82C02">
        <w:rPr>
          <w:sz w:val="22"/>
          <w:szCs w:val="28"/>
          <w:shd w:val="clear" w:color="auto" w:fill="FFFFFF"/>
        </w:rPr>
        <w:t xml:space="preserve"> </w:t>
      </w:r>
      <w:r w:rsidRPr="00A44456">
        <w:rPr>
          <w:rFonts w:eastAsiaTheme="minorHAnsi"/>
          <w:sz w:val="22"/>
          <w:szCs w:val="22"/>
          <w:lang w:eastAsia="en-US"/>
        </w:rPr>
        <w:t>М.: Энергия, 1971</w:t>
      </w:r>
      <w:r w:rsidR="00C82C02">
        <w:rPr>
          <w:rFonts w:eastAsiaTheme="minorHAnsi"/>
          <w:sz w:val="22"/>
          <w:szCs w:val="22"/>
          <w:lang w:eastAsia="en-US"/>
        </w:rPr>
        <w:t xml:space="preserve"> – 152 с.</w:t>
      </w:r>
    </w:p>
    <w:p w:rsidR="00FE731D" w:rsidRPr="00A44456" w:rsidRDefault="00FE731D" w:rsidP="000B017F">
      <w:pPr>
        <w:pStyle w:val="5"/>
        <w:numPr>
          <w:ilvl w:val="0"/>
          <w:numId w:val="2"/>
        </w:numPr>
        <w:tabs>
          <w:tab w:val="left" w:pos="993"/>
        </w:tabs>
        <w:spacing w:line="240" w:lineRule="auto"/>
        <w:ind w:left="0" w:firstLine="720"/>
        <w:rPr>
          <w:rFonts w:eastAsiaTheme="minorHAnsi"/>
          <w:sz w:val="22"/>
          <w:szCs w:val="22"/>
          <w:lang w:eastAsia="en-US"/>
        </w:rPr>
      </w:pPr>
      <w:r w:rsidRPr="00A44456">
        <w:rPr>
          <w:rFonts w:eastAsiaTheme="minorHAnsi"/>
          <w:sz w:val="22"/>
          <w:szCs w:val="22"/>
          <w:lang w:eastAsia="en-US"/>
        </w:rPr>
        <w:t>Костарев И.А., Сапунков М.Л., Зубарев С.Ю. О состоянии защиты от однофазных замыканий в распределительных сетях 6-10 кВ нефтегазовых предприятий</w:t>
      </w:r>
      <w:r w:rsidR="00C82C02">
        <w:rPr>
          <w:rFonts w:eastAsiaTheme="minorHAnsi"/>
          <w:sz w:val="22"/>
          <w:szCs w:val="22"/>
          <w:lang w:eastAsia="en-US"/>
        </w:rPr>
        <w:t xml:space="preserve"> </w:t>
      </w:r>
      <w:r w:rsidR="007E4CC1" w:rsidRPr="007E4CC1">
        <w:rPr>
          <w:sz w:val="22"/>
          <w:szCs w:val="22"/>
        </w:rPr>
        <w:t>[Текст]</w:t>
      </w:r>
      <w:r w:rsidR="00C82C02">
        <w:rPr>
          <w:rFonts w:eastAsiaTheme="minorHAnsi"/>
          <w:sz w:val="22"/>
          <w:szCs w:val="22"/>
          <w:lang w:eastAsia="en-US"/>
        </w:rPr>
        <w:t>/</w:t>
      </w:r>
      <w:r w:rsidR="00C82C02" w:rsidRPr="00C82C02">
        <w:rPr>
          <w:rFonts w:eastAsiaTheme="minorHAnsi"/>
          <w:sz w:val="22"/>
          <w:szCs w:val="22"/>
          <w:lang w:eastAsia="en-US"/>
        </w:rPr>
        <w:t xml:space="preserve"> </w:t>
      </w:r>
      <w:r w:rsidR="00C82C02" w:rsidRPr="00A44456">
        <w:rPr>
          <w:rFonts w:eastAsiaTheme="minorHAnsi"/>
          <w:sz w:val="22"/>
          <w:szCs w:val="22"/>
          <w:lang w:eastAsia="en-US"/>
        </w:rPr>
        <w:t>И.А.</w:t>
      </w:r>
      <w:r w:rsidR="00C82C02">
        <w:rPr>
          <w:rFonts w:eastAsiaTheme="minorHAnsi"/>
          <w:sz w:val="22"/>
          <w:szCs w:val="22"/>
          <w:lang w:eastAsia="en-US"/>
        </w:rPr>
        <w:t xml:space="preserve"> </w:t>
      </w:r>
      <w:r w:rsidR="00C82C02" w:rsidRPr="00A44456">
        <w:rPr>
          <w:rFonts w:eastAsiaTheme="minorHAnsi"/>
          <w:sz w:val="22"/>
          <w:szCs w:val="22"/>
          <w:lang w:eastAsia="en-US"/>
        </w:rPr>
        <w:t>Костарев, М.Л.</w:t>
      </w:r>
      <w:r w:rsidR="00C82C02">
        <w:rPr>
          <w:rFonts w:eastAsiaTheme="minorHAnsi"/>
          <w:sz w:val="22"/>
          <w:szCs w:val="22"/>
          <w:lang w:eastAsia="en-US"/>
        </w:rPr>
        <w:t xml:space="preserve"> </w:t>
      </w:r>
      <w:r w:rsidR="00C82C02" w:rsidRPr="00A44456">
        <w:rPr>
          <w:rFonts w:eastAsiaTheme="minorHAnsi"/>
          <w:sz w:val="22"/>
          <w:szCs w:val="22"/>
          <w:lang w:eastAsia="en-US"/>
        </w:rPr>
        <w:t xml:space="preserve">Сапунков, С.Ю. Зубарев </w:t>
      </w:r>
      <w:r w:rsidRPr="00A44456">
        <w:rPr>
          <w:rFonts w:eastAsiaTheme="minorHAnsi"/>
          <w:sz w:val="22"/>
          <w:szCs w:val="22"/>
          <w:lang w:eastAsia="en-US"/>
        </w:rPr>
        <w:t xml:space="preserve">// Вестник ПНИПУ. Геология. Нефтегазовое и горное дело. </w:t>
      </w:r>
      <w:r w:rsidR="00D55E8B">
        <w:rPr>
          <w:rFonts w:eastAsiaTheme="minorHAnsi"/>
          <w:sz w:val="22"/>
          <w:szCs w:val="22"/>
          <w:lang w:eastAsia="en-US"/>
        </w:rPr>
        <w:t xml:space="preserve"> - </w:t>
      </w:r>
      <w:r w:rsidRPr="00A44456">
        <w:rPr>
          <w:rFonts w:eastAsiaTheme="minorHAnsi"/>
          <w:sz w:val="22"/>
          <w:szCs w:val="22"/>
          <w:lang w:eastAsia="en-US"/>
        </w:rPr>
        <w:t>2012.</w:t>
      </w:r>
      <w:r w:rsidR="00D55E8B">
        <w:rPr>
          <w:rFonts w:eastAsiaTheme="minorHAnsi"/>
          <w:sz w:val="22"/>
          <w:szCs w:val="22"/>
          <w:lang w:eastAsia="en-US"/>
        </w:rPr>
        <w:t xml:space="preserve"> -</w:t>
      </w:r>
      <w:r w:rsidRPr="00A44456">
        <w:rPr>
          <w:rFonts w:eastAsiaTheme="minorHAnsi"/>
          <w:sz w:val="22"/>
          <w:szCs w:val="22"/>
          <w:lang w:eastAsia="en-US"/>
        </w:rPr>
        <w:t xml:space="preserve"> № 3. </w:t>
      </w:r>
      <w:r w:rsidR="00D55E8B">
        <w:rPr>
          <w:rFonts w:eastAsiaTheme="minorHAnsi"/>
          <w:sz w:val="22"/>
          <w:szCs w:val="22"/>
          <w:lang w:eastAsia="en-US"/>
        </w:rPr>
        <w:t xml:space="preserve">- </w:t>
      </w:r>
      <w:r w:rsidRPr="00A44456">
        <w:rPr>
          <w:rFonts w:eastAsiaTheme="minorHAnsi"/>
          <w:sz w:val="22"/>
          <w:szCs w:val="22"/>
          <w:lang w:eastAsia="en-US"/>
        </w:rPr>
        <w:t>С. 148–153.</w:t>
      </w:r>
    </w:p>
    <w:p w:rsidR="00FE731D" w:rsidRPr="00A44456" w:rsidRDefault="00FE731D" w:rsidP="000B017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A44456">
        <w:rPr>
          <w:rFonts w:ascii="Times New Roman" w:hAnsi="Times New Roman" w:cs="Times New Roman"/>
        </w:rPr>
        <w:t xml:space="preserve">Положение ПАО «Россети» «О единой технической политике в электросетевом комплексе» [Электрон. ресурс] </w:t>
      </w:r>
      <w:hyperlink r:id="rId50" w:history="1">
        <w:r w:rsidRPr="00A44456">
          <w:rPr>
            <w:rStyle w:val="a8"/>
            <w:rFonts w:ascii="Times New Roman" w:hAnsi="Times New Roman" w:cs="Times New Roman"/>
          </w:rPr>
          <w:t>https://www.rosseti.ru/investment/science/tech/doc/tehpolitika.pdf</w:t>
        </w:r>
      </w:hyperlink>
      <w:r w:rsidRPr="00A44456">
        <w:rPr>
          <w:rStyle w:val="a8"/>
          <w:rFonts w:ascii="Times New Roman" w:hAnsi="Times New Roman" w:cs="Times New Roman"/>
        </w:rPr>
        <w:t xml:space="preserve"> (дата обращения 15.09.2019)</w:t>
      </w:r>
    </w:p>
    <w:p w:rsidR="00FE731D" w:rsidRPr="00A44456" w:rsidRDefault="00FE731D" w:rsidP="000B017F">
      <w:pPr>
        <w:pStyle w:val="5"/>
        <w:numPr>
          <w:ilvl w:val="0"/>
          <w:numId w:val="2"/>
        </w:numPr>
        <w:tabs>
          <w:tab w:val="left" w:pos="993"/>
        </w:tabs>
        <w:spacing w:line="240" w:lineRule="auto"/>
        <w:ind w:left="0" w:firstLine="720"/>
        <w:rPr>
          <w:rFonts w:eastAsiaTheme="minorHAnsi"/>
          <w:sz w:val="22"/>
          <w:szCs w:val="22"/>
          <w:lang w:eastAsia="en-US"/>
        </w:rPr>
      </w:pPr>
      <w:r w:rsidRPr="00A44456">
        <w:rPr>
          <w:rFonts w:eastAsiaTheme="minorHAnsi"/>
          <w:sz w:val="22"/>
          <w:szCs w:val="22"/>
          <w:lang w:eastAsia="en-US"/>
        </w:rPr>
        <w:t>Саенко</w:t>
      </w:r>
      <w:r w:rsidR="00F46475">
        <w:rPr>
          <w:rFonts w:eastAsiaTheme="minorHAnsi"/>
          <w:sz w:val="22"/>
          <w:szCs w:val="22"/>
          <w:lang w:eastAsia="en-US"/>
        </w:rPr>
        <w:t>,</w:t>
      </w:r>
      <w:r w:rsidRPr="00A44456">
        <w:rPr>
          <w:rFonts w:eastAsiaTheme="minorHAnsi"/>
          <w:sz w:val="22"/>
          <w:szCs w:val="22"/>
          <w:lang w:eastAsia="en-US"/>
        </w:rPr>
        <w:t xml:space="preserve"> Ю.Л. Исследование причин повреждения трансформаторов напряжения контроля изоляции</w:t>
      </w:r>
      <w:r w:rsidR="009F3165">
        <w:rPr>
          <w:rFonts w:eastAsiaTheme="minorHAnsi"/>
          <w:sz w:val="22"/>
          <w:szCs w:val="22"/>
          <w:lang w:eastAsia="en-US"/>
        </w:rPr>
        <w:t xml:space="preserve"> </w:t>
      </w:r>
      <w:r w:rsidR="009F3165" w:rsidRPr="007E4CC1">
        <w:rPr>
          <w:sz w:val="22"/>
          <w:szCs w:val="22"/>
        </w:rPr>
        <w:t>[Текст]</w:t>
      </w:r>
      <w:r w:rsidRPr="00A44456">
        <w:rPr>
          <w:rFonts w:eastAsiaTheme="minorHAnsi"/>
          <w:sz w:val="22"/>
          <w:szCs w:val="22"/>
          <w:lang w:eastAsia="en-US"/>
        </w:rPr>
        <w:t xml:space="preserve"> </w:t>
      </w:r>
      <w:r w:rsidR="00F46475">
        <w:rPr>
          <w:rFonts w:eastAsiaTheme="minorHAnsi"/>
          <w:sz w:val="22"/>
          <w:szCs w:val="22"/>
          <w:lang w:eastAsia="en-US"/>
        </w:rPr>
        <w:t xml:space="preserve">/ </w:t>
      </w:r>
      <w:r w:rsidR="00F46475" w:rsidRPr="00A44456">
        <w:rPr>
          <w:rFonts w:eastAsiaTheme="minorHAnsi"/>
          <w:sz w:val="22"/>
          <w:szCs w:val="22"/>
          <w:lang w:eastAsia="en-US"/>
        </w:rPr>
        <w:t>Ю.Л.Саенко, А.С.</w:t>
      </w:r>
      <w:r w:rsidR="00F46475">
        <w:rPr>
          <w:rFonts w:eastAsiaTheme="minorHAnsi"/>
          <w:sz w:val="22"/>
          <w:szCs w:val="22"/>
          <w:lang w:eastAsia="en-US"/>
        </w:rPr>
        <w:t xml:space="preserve"> </w:t>
      </w:r>
      <w:r w:rsidR="00F46475" w:rsidRPr="00A44456">
        <w:rPr>
          <w:rFonts w:eastAsiaTheme="minorHAnsi"/>
          <w:sz w:val="22"/>
          <w:szCs w:val="22"/>
          <w:lang w:eastAsia="en-US"/>
        </w:rPr>
        <w:t xml:space="preserve">Попов </w:t>
      </w:r>
      <w:r w:rsidRPr="00A44456">
        <w:rPr>
          <w:rFonts w:eastAsiaTheme="minorHAnsi"/>
          <w:sz w:val="22"/>
          <w:szCs w:val="22"/>
          <w:lang w:eastAsia="en-US"/>
        </w:rPr>
        <w:t xml:space="preserve">// Энергоснабжение, энергетика, энергоаудит. </w:t>
      </w:r>
      <w:r w:rsidR="00D55E8B">
        <w:rPr>
          <w:rFonts w:eastAsiaTheme="minorHAnsi"/>
          <w:sz w:val="22"/>
          <w:szCs w:val="22"/>
          <w:lang w:eastAsia="en-US"/>
        </w:rPr>
        <w:t xml:space="preserve">- </w:t>
      </w:r>
      <w:r w:rsidRPr="00A44456">
        <w:rPr>
          <w:rFonts w:eastAsiaTheme="minorHAnsi"/>
          <w:sz w:val="22"/>
          <w:szCs w:val="22"/>
          <w:lang w:eastAsia="en-US"/>
        </w:rPr>
        <w:t xml:space="preserve">2011. </w:t>
      </w:r>
      <w:r w:rsidR="00D55E8B">
        <w:rPr>
          <w:rFonts w:eastAsiaTheme="minorHAnsi"/>
          <w:sz w:val="22"/>
          <w:szCs w:val="22"/>
          <w:lang w:eastAsia="en-US"/>
        </w:rPr>
        <w:t xml:space="preserve">- </w:t>
      </w:r>
      <w:r w:rsidRPr="00A44456">
        <w:rPr>
          <w:rFonts w:eastAsiaTheme="minorHAnsi"/>
          <w:sz w:val="22"/>
          <w:szCs w:val="22"/>
          <w:lang w:eastAsia="en-US"/>
        </w:rPr>
        <w:t xml:space="preserve">№7 (89). </w:t>
      </w:r>
      <w:r w:rsidR="00D55E8B">
        <w:rPr>
          <w:rFonts w:eastAsiaTheme="minorHAnsi"/>
          <w:sz w:val="22"/>
          <w:szCs w:val="22"/>
          <w:lang w:eastAsia="en-US"/>
        </w:rPr>
        <w:t xml:space="preserve">- </w:t>
      </w:r>
      <w:r w:rsidRPr="00A44456">
        <w:rPr>
          <w:rFonts w:eastAsiaTheme="minorHAnsi"/>
          <w:sz w:val="22"/>
          <w:szCs w:val="22"/>
          <w:lang w:eastAsia="en-US"/>
        </w:rPr>
        <w:t>С. 59–66.</w:t>
      </w:r>
    </w:p>
    <w:p w:rsidR="00FE731D" w:rsidRPr="00A44456" w:rsidRDefault="00FE731D" w:rsidP="000B017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A44456">
        <w:rPr>
          <w:rFonts w:ascii="Times New Roman" w:hAnsi="Times New Roman" w:cs="Times New Roman"/>
        </w:rPr>
        <w:t>Виштибеев</w:t>
      </w:r>
      <w:r w:rsidR="002559E6">
        <w:rPr>
          <w:rFonts w:ascii="Times New Roman" w:hAnsi="Times New Roman" w:cs="Times New Roman"/>
        </w:rPr>
        <w:t>,</w:t>
      </w:r>
      <w:r w:rsidRPr="00A44456">
        <w:rPr>
          <w:rFonts w:ascii="Times New Roman" w:hAnsi="Times New Roman" w:cs="Times New Roman"/>
        </w:rPr>
        <w:t xml:space="preserve"> А.В. О необходимости перевода электрических сетей 6-35 кВ на режим резистивного заземления нейтрали </w:t>
      </w:r>
      <w:r w:rsidR="009F3165" w:rsidRPr="007E4CC1">
        <w:rPr>
          <w:rFonts w:ascii="Times New Roman" w:hAnsi="Times New Roman" w:cs="Times New Roman"/>
        </w:rPr>
        <w:t>[Текст]</w:t>
      </w:r>
      <w:r w:rsidRPr="00A44456">
        <w:rPr>
          <w:rFonts w:ascii="Times New Roman" w:hAnsi="Times New Roman" w:cs="Times New Roman"/>
        </w:rPr>
        <w:t xml:space="preserve">// Проблемы энергетики. </w:t>
      </w:r>
      <w:r w:rsidR="00D55E8B">
        <w:rPr>
          <w:rFonts w:ascii="Times New Roman" w:hAnsi="Times New Roman" w:cs="Times New Roman"/>
        </w:rPr>
        <w:t xml:space="preserve">- </w:t>
      </w:r>
      <w:r w:rsidRPr="00A44456">
        <w:rPr>
          <w:rFonts w:ascii="Times New Roman" w:hAnsi="Times New Roman" w:cs="Times New Roman"/>
        </w:rPr>
        <w:t xml:space="preserve">2002. </w:t>
      </w:r>
      <w:r w:rsidR="00D55E8B">
        <w:rPr>
          <w:rFonts w:ascii="Times New Roman" w:hAnsi="Times New Roman" w:cs="Times New Roman"/>
        </w:rPr>
        <w:t xml:space="preserve">- </w:t>
      </w:r>
      <w:r w:rsidRPr="00A44456">
        <w:rPr>
          <w:rFonts w:ascii="Times New Roman" w:hAnsi="Times New Roman" w:cs="Times New Roman"/>
        </w:rPr>
        <w:t xml:space="preserve">№ 3. </w:t>
      </w:r>
      <w:r w:rsidR="00D55E8B">
        <w:rPr>
          <w:rFonts w:ascii="Times New Roman" w:hAnsi="Times New Roman" w:cs="Times New Roman"/>
        </w:rPr>
        <w:t xml:space="preserve">- </w:t>
      </w:r>
      <w:r w:rsidRPr="00A44456">
        <w:rPr>
          <w:rFonts w:ascii="Times New Roman" w:hAnsi="Times New Roman" w:cs="Times New Roman"/>
        </w:rPr>
        <w:t>С. 24–29.</w:t>
      </w:r>
    </w:p>
    <w:p w:rsidR="00FE731D" w:rsidRPr="00A44456" w:rsidRDefault="00FE731D" w:rsidP="000B017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A44456">
        <w:rPr>
          <w:rFonts w:ascii="Times New Roman" w:hAnsi="Times New Roman" w:cs="Times New Roman"/>
        </w:rPr>
        <w:t>Шкрабец</w:t>
      </w:r>
      <w:r w:rsidR="002559E6">
        <w:rPr>
          <w:rFonts w:ascii="Times New Roman" w:hAnsi="Times New Roman" w:cs="Times New Roman"/>
        </w:rPr>
        <w:t>,</w:t>
      </w:r>
      <w:r w:rsidRPr="00A44456">
        <w:rPr>
          <w:rFonts w:ascii="Times New Roman" w:hAnsi="Times New Roman" w:cs="Times New Roman"/>
        </w:rPr>
        <w:t xml:space="preserve"> Ф.П. Оптимизация режимов работы нейтрали распределительных сетей</w:t>
      </w:r>
      <w:r w:rsidR="00C73EBE">
        <w:rPr>
          <w:rFonts w:ascii="Times New Roman" w:hAnsi="Times New Roman" w:cs="Times New Roman"/>
        </w:rPr>
        <w:t xml:space="preserve"> </w:t>
      </w:r>
      <w:r w:rsidR="009F3165" w:rsidRPr="007E4CC1">
        <w:rPr>
          <w:rFonts w:ascii="Times New Roman" w:hAnsi="Times New Roman" w:cs="Times New Roman"/>
        </w:rPr>
        <w:t>[Текст]</w:t>
      </w:r>
      <w:r w:rsidR="002559E6">
        <w:rPr>
          <w:rFonts w:ascii="Times New Roman" w:hAnsi="Times New Roman" w:cs="Times New Roman"/>
        </w:rPr>
        <w:t>/</w:t>
      </w:r>
      <w:r w:rsidR="002559E6" w:rsidRPr="002559E6">
        <w:rPr>
          <w:rFonts w:ascii="Times New Roman" w:hAnsi="Times New Roman" w:cs="Times New Roman"/>
        </w:rPr>
        <w:t xml:space="preserve"> </w:t>
      </w:r>
      <w:r w:rsidR="002559E6" w:rsidRPr="00A44456">
        <w:rPr>
          <w:rFonts w:ascii="Times New Roman" w:hAnsi="Times New Roman" w:cs="Times New Roman"/>
        </w:rPr>
        <w:t>Ф.П.</w:t>
      </w:r>
      <w:r w:rsidR="002559E6">
        <w:rPr>
          <w:rFonts w:ascii="Times New Roman" w:hAnsi="Times New Roman" w:cs="Times New Roman"/>
        </w:rPr>
        <w:t xml:space="preserve"> </w:t>
      </w:r>
      <w:r w:rsidR="002559E6" w:rsidRPr="00A44456">
        <w:rPr>
          <w:rFonts w:ascii="Times New Roman" w:hAnsi="Times New Roman" w:cs="Times New Roman"/>
        </w:rPr>
        <w:t xml:space="preserve">Шкрабец, А.И.Ковалев </w:t>
      </w:r>
      <w:r w:rsidRPr="00A44456">
        <w:rPr>
          <w:rFonts w:ascii="Times New Roman" w:hAnsi="Times New Roman" w:cs="Times New Roman"/>
        </w:rPr>
        <w:t xml:space="preserve">// Наука и прогресс транспорта.  Вестник Днепропетровского национального университета железнодорожного транспорта. </w:t>
      </w:r>
      <w:r w:rsidR="00D55E8B">
        <w:rPr>
          <w:rFonts w:ascii="Times New Roman" w:hAnsi="Times New Roman" w:cs="Times New Roman"/>
        </w:rPr>
        <w:t xml:space="preserve">- </w:t>
      </w:r>
      <w:r w:rsidRPr="00A44456">
        <w:rPr>
          <w:rFonts w:ascii="Times New Roman" w:hAnsi="Times New Roman" w:cs="Times New Roman"/>
        </w:rPr>
        <w:t>2009.</w:t>
      </w:r>
      <w:r w:rsidR="00D55E8B">
        <w:rPr>
          <w:rFonts w:ascii="Times New Roman" w:hAnsi="Times New Roman" w:cs="Times New Roman"/>
        </w:rPr>
        <w:t xml:space="preserve"> -</w:t>
      </w:r>
      <w:r w:rsidRPr="00A44456">
        <w:rPr>
          <w:rFonts w:ascii="Times New Roman" w:hAnsi="Times New Roman" w:cs="Times New Roman"/>
        </w:rPr>
        <w:t xml:space="preserve"> С. 67–70.</w:t>
      </w:r>
    </w:p>
    <w:p w:rsidR="00FE731D" w:rsidRPr="00A44456" w:rsidRDefault="00FE731D" w:rsidP="000B017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A44456">
        <w:rPr>
          <w:rFonts w:ascii="Times New Roman" w:hAnsi="Times New Roman" w:cs="Times New Roman"/>
        </w:rPr>
        <w:t>Ильиных</w:t>
      </w:r>
      <w:r w:rsidR="00C73EBE">
        <w:rPr>
          <w:rFonts w:ascii="Times New Roman" w:hAnsi="Times New Roman" w:cs="Times New Roman"/>
        </w:rPr>
        <w:t xml:space="preserve">, М.В. </w:t>
      </w:r>
      <w:r w:rsidRPr="00A44456">
        <w:rPr>
          <w:rFonts w:ascii="Times New Roman" w:hAnsi="Times New Roman" w:cs="Times New Roman"/>
        </w:rPr>
        <w:t>Комплексный подход к выбору средств ограничения перенапряжений в сетях 6,10 кВ крупных промышленных предприятий целлюлозо-бумажной и металлургической промышленности</w:t>
      </w:r>
      <w:r w:rsidR="00C73EBE">
        <w:rPr>
          <w:rFonts w:ascii="Times New Roman" w:hAnsi="Times New Roman" w:cs="Times New Roman"/>
        </w:rPr>
        <w:t>/</w:t>
      </w:r>
      <w:r w:rsidR="00C73EBE" w:rsidRPr="00C73EBE">
        <w:rPr>
          <w:rFonts w:ascii="Times New Roman" w:hAnsi="Times New Roman" w:cs="Times New Roman"/>
        </w:rPr>
        <w:t xml:space="preserve"> </w:t>
      </w:r>
      <w:r w:rsidR="00C73EBE" w:rsidRPr="00A44456">
        <w:rPr>
          <w:rFonts w:ascii="Times New Roman" w:hAnsi="Times New Roman" w:cs="Times New Roman"/>
        </w:rPr>
        <w:t>М.В</w:t>
      </w:r>
      <w:r w:rsidR="00C73EBE">
        <w:rPr>
          <w:rFonts w:ascii="Times New Roman" w:hAnsi="Times New Roman" w:cs="Times New Roman"/>
        </w:rPr>
        <w:t>.</w:t>
      </w:r>
      <w:r w:rsidR="00C73EBE" w:rsidRPr="00A44456">
        <w:rPr>
          <w:rFonts w:ascii="Times New Roman" w:hAnsi="Times New Roman" w:cs="Times New Roman"/>
        </w:rPr>
        <w:t xml:space="preserve"> Ильиных, Л.И.</w:t>
      </w:r>
      <w:r w:rsidR="00C73EBE">
        <w:rPr>
          <w:rFonts w:ascii="Times New Roman" w:hAnsi="Times New Roman" w:cs="Times New Roman"/>
        </w:rPr>
        <w:t xml:space="preserve"> </w:t>
      </w:r>
      <w:r w:rsidR="00C73EBE" w:rsidRPr="00A44456">
        <w:rPr>
          <w:rFonts w:ascii="Times New Roman" w:hAnsi="Times New Roman" w:cs="Times New Roman"/>
        </w:rPr>
        <w:t xml:space="preserve">Сарин </w:t>
      </w:r>
      <w:r w:rsidRPr="00A44456">
        <w:rPr>
          <w:rFonts w:ascii="Times New Roman" w:hAnsi="Times New Roman" w:cs="Times New Roman"/>
        </w:rPr>
        <w:t xml:space="preserve">[Электрон. ресурс] </w:t>
      </w:r>
      <w:hyperlink r:id="rId51" w:history="1">
        <w:r w:rsidRPr="00A44456">
          <w:rPr>
            <w:rStyle w:val="a8"/>
            <w:rFonts w:ascii="Times New Roman" w:hAnsi="Times New Roman" w:cs="Times New Roman"/>
          </w:rPr>
          <w:t>http://static.pnpbolid.com/pdf/IV-Conference-2006--13.pdf</w:t>
        </w:r>
      </w:hyperlink>
      <w:r w:rsidRPr="00A44456">
        <w:rPr>
          <w:rFonts w:ascii="Times New Roman" w:hAnsi="Times New Roman" w:cs="Times New Roman"/>
        </w:rPr>
        <w:t xml:space="preserve"> </w:t>
      </w:r>
      <w:r w:rsidRPr="00A44456">
        <w:rPr>
          <w:rStyle w:val="a8"/>
          <w:rFonts w:ascii="Times New Roman" w:hAnsi="Times New Roman" w:cs="Times New Roman"/>
        </w:rPr>
        <w:t>(дата обращения 15.09.2019)</w:t>
      </w:r>
    </w:p>
    <w:p w:rsidR="00FE731D" w:rsidRPr="00A44456" w:rsidRDefault="00FE731D" w:rsidP="000B017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A44456">
        <w:rPr>
          <w:rFonts w:ascii="Times New Roman" w:hAnsi="Times New Roman" w:cs="Times New Roman"/>
        </w:rPr>
        <w:t>Винокурова</w:t>
      </w:r>
      <w:r w:rsidR="006655C1">
        <w:rPr>
          <w:rFonts w:ascii="Times New Roman" w:hAnsi="Times New Roman" w:cs="Times New Roman"/>
        </w:rPr>
        <w:t xml:space="preserve">, Т.Ю. </w:t>
      </w:r>
      <w:r w:rsidRPr="00A44456">
        <w:rPr>
          <w:rFonts w:ascii="Times New Roman" w:hAnsi="Times New Roman" w:cs="Times New Roman"/>
        </w:rPr>
        <w:t xml:space="preserve">Математическая модель для оценки минимального уровня высших гармоник в токе однофазного замыкания на землю в компенсированных сетях 6–10 кВ </w:t>
      </w:r>
      <w:r w:rsidR="009F3165" w:rsidRPr="007E4CC1">
        <w:rPr>
          <w:rFonts w:ascii="Times New Roman" w:hAnsi="Times New Roman" w:cs="Times New Roman"/>
        </w:rPr>
        <w:t>[Текст]</w:t>
      </w:r>
      <w:r w:rsidR="006655C1">
        <w:rPr>
          <w:rFonts w:ascii="Times New Roman" w:hAnsi="Times New Roman" w:cs="Times New Roman"/>
        </w:rPr>
        <w:t xml:space="preserve">/ </w:t>
      </w:r>
      <w:r w:rsidR="006655C1" w:rsidRPr="00A44456">
        <w:rPr>
          <w:rFonts w:ascii="Times New Roman" w:hAnsi="Times New Roman" w:cs="Times New Roman"/>
        </w:rPr>
        <w:t>Т.Ю.</w:t>
      </w:r>
      <w:r w:rsidR="006655C1">
        <w:rPr>
          <w:rFonts w:ascii="Times New Roman" w:hAnsi="Times New Roman" w:cs="Times New Roman"/>
        </w:rPr>
        <w:t xml:space="preserve"> </w:t>
      </w:r>
      <w:r w:rsidR="006655C1" w:rsidRPr="00A44456">
        <w:rPr>
          <w:rFonts w:ascii="Times New Roman" w:hAnsi="Times New Roman" w:cs="Times New Roman"/>
        </w:rPr>
        <w:t>Винокурова,</w:t>
      </w:r>
      <w:r w:rsidR="006655C1" w:rsidRPr="006655C1">
        <w:rPr>
          <w:rFonts w:ascii="Times New Roman" w:hAnsi="Times New Roman" w:cs="Times New Roman"/>
        </w:rPr>
        <w:t xml:space="preserve"> </w:t>
      </w:r>
      <w:r w:rsidR="006655C1" w:rsidRPr="00A44456">
        <w:rPr>
          <w:rFonts w:ascii="Times New Roman" w:hAnsi="Times New Roman" w:cs="Times New Roman"/>
        </w:rPr>
        <w:t>Е.С. Шагурина, В.А.</w:t>
      </w:r>
      <w:r w:rsidR="006655C1">
        <w:rPr>
          <w:rFonts w:ascii="Times New Roman" w:hAnsi="Times New Roman" w:cs="Times New Roman"/>
        </w:rPr>
        <w:t xml:space="preserve"> </w:t>
      </w:r>
      <w:r w:rsidR="006655C1" w:rsidRPr="00A44456">
        <w:rPr>
          <w:rFonts w:ascii="Times New Roman" w:hAnsi="Times New Roman" w:cs="Times New Roman"/>
        </w:rPr>
        <w:t xml:space="preserve">Шуин </w:t>
      </w:r>
      <w:r w:rsidRPr="00A44456">
        <w:rPr>
          <w:rFonts w:ascii="Times New Roman" w:hAnsi="Times New Roman" w:cs="Times New Roman"/>
        </w:rPr>
        <w:t xml:space="preserve">// Вестник ИГЭУ. </w:t>
      </w:r>
      <w:r w:rsidR="00D55E8B">
        <w:rPr>
          <w:rFonts w:ascii="Times New Roman" w:hAnsi="Times New Roman" w:cs="Times New Roman"/>
        </w:rPr>
        <w:t xml:space="preserve">- </w:t>
      </w:r>
      <w:r w:rsidRPr="00A44456">
        <w:rPr>
          <w:rFonts w:ascii="Times New Roman" w:hAnsi="Times New Roman" w:cs="Times New Roman"/>
        </w:rPr>
        <w:t>2013.</w:t>
      </w:r>
      <w:r w:rsidR="00D55E8B">
        <w:rPr>
          <w:rFonts w:ascii="Times New Roman" w:hAnsi="Times New Roman" w:cs="Times New Roman"/>
        </w:rPr>
        <w:t xml:space="preserve"> -</w:t>
      </w:r>
      <w:r w:rsidRPr="00A44456">
        <w:rPr>
          <w:rFonts w:ascii="Times New Roman" w:hAnsi="Times New Roman" w:cs="Times New Roman"/>
        </w:rPr>
        <w:t xml:space="preserve"> №6. </w:t>
      </w:r>
      <w:r w:rsidR="00D55E8B">
        <w:rPr>
          <w:rFonts w:ascii="Times New Roman" w:hAnsi="Times New Roman" w:cs="Times New Roman"/>
        </w:rPr>
        <w:t xml:space="preserve">- </w:t>
      </w:r>
      <w:r w:rsidRPr="00A44456">
        <w:rPr>
          <w:rFonts w:ascii="Times New Roman" w:hAnsi="Times New Roman" w:cs="Times New Roman"/>
        </w:rPr>
        <w:t>С. 35-41.</w:t>
      </w:r>
    </w:p>
    <w:p w:rsidR="00FE731D" w:rsidRPr="004C0AA9" w:rsidRDefault="00FE731D" w:rsidP="000B017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4456">
        <w:rPr>
          <w:rFonts w:ascii="Times New Roman" w:eastAsiaTheme="minorEastAsia" w:hAnsi="Times New Roman" w:cs="Times New Roman"/>
        </w:rPr>
        <w:t>Ильиных</w:t>
      </w:r>
      <w:r w:rsidR="00092FBA">
        <w:rPr>
          <w:rFonts w:ascii="Times New Roman" w:eastAsiaTheme="minorEastAsia" w:hAnsi="Times New Roman" w:cs="Times New Roman"/>
        </w:rPr>
        <w:t>, М.В.</w:t>
      </w:r>
      <w:r w:rsidRPr="00A44456">
        <w:rPr>
          <w:rFonts w:ascii="Times New Roman" w:eastAsiaTheme="minorEastAsia" w:hAnsi="Times New Roman" w:cs="Times New Roman"/>
        </w:rPr>
        <w:t xml:space="preserve"> Исследование процессов при металлических и дуговых ОЗЗ в условиях резистивно-заземлённой и изолированной нейтрали в сети 6 кВ ПС «Карьерная-2» ОАО «Разрез Тугнуйский» </w:t>
      </w:r>
      <w:r w:rsidR="009F3165" w:rsidRPr="007E4CC1">
        <w:rPr>
          <w:rFonts w:ascii="Times New Roman" w:hAnsi="Times New Roman" w:cs="Times New Roman"/>
        </w:rPr>
        <w:t>[Текст]</w:t>
      </w:r>
      <w:r w:rsidR="00092FBA">
        <w:rPr>
          <w:rFonts w:ascii="Times New Roman" w:hAnsi="Times New Roman" w:cs="Times New Roman"/>
        </w:rPr>
        <w:t>/</w:t>
      </w:r>
      <w:r w:rsidR="00092FBA" w:rsidRPr="00092FBA">
        <w:rPr>
          <w:rFonts w:ascii="Times New Roman" w:eastAsiaTheme="minorEastAsia" w:hAnsi="Times New Roman" w:cs="Times New Roman"/>
        </w:rPr>
        <w:t xml:space="preserve"> </w:t>
      </w:r>
      <w:r w:rsidR="00092FBA" w:rsidRPr="00A44456">
        <w:rPr>
          <w:rFonts w:ascii="Times New Roman" w:eastAsiaTheme="minorEastAsia" w:hAnsi="Times New Roman" w:cs="Times New Roman"/>
        </w:rPr>
        <w:t>М.В.</w:t>
      </w:r>
      <w:r w:rsidR="00092FBA">
        <w:rPr>
          <w:rFonts w:ascii="Times New Roman" w:eastAsiaTheme="minorEastAsia" w:hAnsi="Times New Roman" w:cs="Times New Roman"/>
        </w:rPr>
        <w:t xml:space="preserve"> </w:t>
      </w:r>
      <w:r w:rsidR="00092FBA" w:rsidRPr="00A44456">
        <w:rPr>
          <w:rFonts w:ascii="Times New Roman" w:eastAsiaTheme="minorEastAsia" w:hAnsi="Times New Roman" w:cs="Times New Roman"/>
        </w:rPr>
        <w:t>Ильиных, А.И.</w:t>
      </w:r>
      <w:r w:rsidR="00092FBA">
        <w:rPr>
          <w:rFonts w:ascii="Times New Roman" w:eastAsiaTheme="minorEastAsia" w:hAnsi="Times New Roman" w:cs="Times New Roman"/>
        </w:rPr>
        <w:t xml:space="preserve"> </w:t>
      </w:r>
      <w:r w:rsidR="00092FBA" w:rsidRPr="00A44456">
        <w:rPr>
          <w:rFonts w:ascii="Times New Roman" w:eastAsiaTheme="minorEastAsia" w:hAnsi="Times New Roman" w:cs="Times New Roman"/>
        </w:rPr>
        <w:t>Ширковец, А.А.</w:t>
      </w:r>
      <w:r w:rsidR="00092FBA">
        <w:rPr>
          <w:rFonts w:ascii="Times New Roman" w:eastAsiaTheme="minorEastAsia" w:hAnsi="Times New Roman" w:cs="Times New Roman"/>
        </w:rPr>
        <w:t xml:space="preserve"> </w:t>
      </w:r>
      <w:r w:rsidR="00092FBA" w:rsidRPr="00A44456">
        <w:rPr>
          <w:rFonts w:ascii="Times New Roman" w:eastAsiaTheme="minorEastAsia" w:hAnsi="Times New Roman" w:cs="Times New Roman"/>
        </w:rPr>
        <w:t>Кузьмин, И.Е.</w:t>
      </w:r>
      <w:r w:rsidR="00092FBA">
        <w:rPr>
          <w:rFonts w:ascii="Times New Roman" w:eastAsiaTheme="minorEastAsia" w:hAnsi="Times New Roman" w:cs="Times New Roman"/>
        </w:rPr>
        <w:t xml:space="preserve"> </w:t>
      </w:r>
      <w:r w:rsidR="00092FBA" w:rsidRPr="00A44456">
        <w:rPr>
          <w:rFonts w:ascii="Times New Roman" w:eastAsiaTheme="minorEastAsia" w:hAnsi="Times New Roman" w:cs="Times New Roman"/>
        </w:rPr>
        <w:t xml:space="preserve">Волокитин </w:t>
      </w:r>
      <w:r w:rsidRPr="00A44456">
        <w:rPr>
          <w:rFonts w:ascii="Times New Roman" w:eastAsiaTheme="minorEastAsia" w:hAnsi="Times New Roman" w:cs="Times New Roman"/>
        </w:rPr>
        <w:t xml:space="preserve">// Горный информационно-аналитический бюллетень (научно-технический журнал). </w:t>
      </w:r>
      <w:r w:rsidR="00D55E8B">
        <w:rPr>
          <w:rFonts w:ascii="Times New Roman" w:eastAsiaTheme="minorEastAsia" w:hAnsi="Times New Roman" w:cs="Times New Roman"/>
        </w:rPr>
        <w:t xml:space="preserve">- </w:t>
      </w:r>
      <w:r w:rsidRPr="00A44456">
        <w:rPr>
          <w:rFonts w:ascii="Times New Roman" w:eastAsiaTheme="minorEastAsia" w:hAnsi="Times New Roman" w:cs="Times New Roman"/>
        </w:rPr>
        <w:t>2011.</w:t>
      </w:r>
      <w:r w:rsidR="00D55E8B">
        <w:rPr>
          <w:rFonts w:ascii="Times New Roman" w:eastAsiaTheme="minorEastAsia" w:hAnsi="Times New Roman" w:cs="Times New Roman"/>
        </w:rPr>
        <w:t xml:space="preserve"> -</w:t>
      </w:r>
      <w:r w:rsidRPr="00A44456">
        <w:rPr>
          <w:rFonts w:ascii="Times New Roman" w:eastAsiaTheme="minorEastAsia" w:hAnsi="Times New Roman" w:cs="Times New Roman"/>
        </w:rPr>
        <w:t xml:space="preserve"> С. 344-360.</w:t>
      </w:r>
    </w:p>
    <w:p w:rsidR="00123AE7" w:rsidRDefault="00123AE7" w:rsidP="000B017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5E8B" w:rsidRPr="00D55E8B" w:rsidRDefault="00D55E8B" w:rsidP="000B017F">
      <w:pPr>
        <w:tabs>
          <w:tab w:val="left" w:pos="1089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D55E8B">
        <w:rPr>
          <w:rFonts w:ascii="Times New Roman" w:eastAsiaTheme="minorEastAsia" w:hAnsi="Times New Roman" w:cs="Times New Roman"/>
          <w:b/>
        </w:rPr>
        <w:t>Младзиевский Евгений Павлович</w:t>
      </w:r>
      <w:r w:rsidRPr="00D55E8B">
        <w:rPr>
          <w:rFonts w:ascii="Times New Roman" w:eastAsiaTheme="minorEastAsia" w:hAnsi="Times New Roman" w:cs="Times New Roman"/>
        </w:rPr>
        <w:t xml:space="preserve">, аспирант, НИУ «МЭИ», кафедра ЭППЭ, 89778075497, </w:t>
      </w:r>
      <w:hyperlink r:id="rId52" w:history="1">
        <w:r w:rsidRPr="00D55E8B">
          <w:rPr>
            <w:rStyle w:val="a8"/>
            <w:rFonts w:ascii="Times New Roman" w:eastAsiaTheme="minorEastAsia" w:hAnsi="Times New Roman" w:cs="Times New Roman"/>
            <w:lang w:val="en-US"/>
          </w:rPr>
          <w:t>ev</w:t>
        </w:r>
        <w:r w:rsidRPr="00D55E8B">
          <w:rPr>
            <w:rStyle w:val="a8"/>
            <w:rFonts w:ascii="Times New Roman" w:eastAsiaTheme="minorEastAsia" w:hAnsi="Times New Roman" w:cs="Times New Roman"/>
          </w:rPr>
          <w:t>.</w:t>
        </w:r>
        <w:r w:rsidRPr="00D55E8B">
          <w:rPr>
            <w:rStyle w:val="a8"/>
            <w:rFonts w:ascii="Times New Roman" w:eastAsiaTheme="minorEastAsia" w:hAnsi="Times New Roman" w:cs="Times New Roman"/>
            <w:lang w:val="en-US"/>
          </w:rPr>
          <w:t>mladzievskiy</w:t>
        </w:r>
        <w:r w:rsidRPr="00D55E8B">
          <w:rPr>
            <w:rStyle w:val="a8"/>
            <w:rFonts w:ascii="Times New Roman" w:eastAsiaTheme="minorEastAsia" w:hAnsi="Times New Roman" w:cs="Times New Roman"/>
          </w:rPr>
          <w:t>@</w:t>
        </w:r>
        <w:r w:rsidRPr="00D55E8B">
          <w:rPr>
            <w:rStyle w:val="a8"/>
            <w:rFonts w:ascii="Times New Roman" w:eastAsiaTheme="minorEastAsia" w:hAnsi="Times New Roman" w:cs="Times New Roman"/>
            <w:lang w:val="en-US"/>
          </w:rPr>
          <w:t>gmail</w:t>
        </w:r>
        <w:r w:rsidRPr="00D55E8B">
          <w:rPr>
            <w:rStyle w:val="a8"/>
            <w:rFonts w:ascii="Times New Roman" w:eastAsiaTheme="minorEastAsia" w:hAnsi="Times New Roman" w:cs="Times New Roman"/>
          </w:rPr>
          <w:t>.</w:t>
        </w:r>
        <w:r w:rsidRPr="00D55E8B">
          <w:rPr>
            <w:rStyle w:val="a8"/>
            <w:rFonts w:ascii="Times New Roman" w:eastAsiaTheme="minorEastAsia" w:hAnsi="Times New Roman" w:cs="Times New Roman"/>
            <w:lang w:val="en-US"/>
          </w:rPr>
          <w:t>com</w:t>
        </w:r>
      </w:hyperlink>
    </w:p>
    <w:p w:rsidR="00D55E8B" w:rsidRDefault="00D55E8B" w:rsidP="000B017F">
      <w:pPr>
        <w:tabs>
          <w:tab w:val="left" w:pos="1089"/>
        </w:tabs>
        <w:spacing w:after="0" w:line="240" w:lineRule="auto"/>
        <w:rPr>
          <w:rStyle w:val="a8"/>
          <w:rFonts w:ascii="Times New Roman" w:eastAsiaTheme="minorEastAsia" w:hAnsi="Times New Roman" w:cs="Times New Roman"/>
        </w:rPr>
      </w:pPr>
      <w:r w:rsidRPr="00D55E8B">
        <w:rPr>
          <w:rFonts w:ascii="Times New Roman" w:eastAsiaTheme="minorEastAsia" w:hAnsi="Times New Roman" w:cs="Times New Roman"/>
          <w:b/>
        </w:rPr>
        <w:t>Рыжкова Елена Николаевна</w:t>
      </w:r>
      <w:r w:rsidRPr="00D55E8B">
        <w:rPr>
          <w:rFonts w:ascii="Times New Roman" w:eastAsiaTheme="minorEastAsia" w:hAnsi="Times New Roman" w:cs="Times New Roman"/>
        </w:rPr>
        <w:t>, д</w:t>
      </w:r>
      <w:r w:rsidR="000B017F">
        <w:rPr>
          <w:rFonts w:ascii="Times New Roman" w:eastAsiaTheme="minorEastAsia" w:hAnsi="Times New Roman" w:cs="Times New Roman"/>
        </w:rPr>
        <w:t xml:space="preserve">-р </w:t>
      </w:r>
      <w:r w:rsidRPr="00D55E8B">
        <w:rPr>
          <w:rFonts w:ascii="Times New Roman" w:eastAsiaTheme="minorEastAsia" w:hAnsi="Times New Roman" w:cs="Times New Roman"/>
        </w:rPr>
        <w:t>т</w:t>
      </w:r>
      <w:r w:rsidR="000B017F">
        <w:rPr>
          <w:rFonts w:ascii="Times New Roman" w:eastAsiaTheme="minorEastAsia" w:hAnsi="Times New Roman" w:cs="Times New Roman"/>
        </w:rPr>
        <w:t>ехн</w:t>
      </w:r>
      <w:r w:rsidRPr="00D55E8B">
        <w:rPr>
          <w:rFonts w:ascii="Times New Roman" w:eastAsiaTheme="minorEastAsia" w:hAnsi="Times New Roman" w:cs="Times New Roman"/>
        </w:rPr>
        <w:t>.н</w:t>
      </w:r>
      <w:r w:rsidR="000B017F">
        <w:rPr>
          <w:rFonts w:ascii="Times New Roman" w:eastAsiaTheme="minorEastAsia" w:hAnsi="Times New Roman" w:cs="Times New Roman"/>
        </w:rPr>
        <w:t>аук</w:t>
      </w:r>
      <w:r w:rsidRPr="00D55E8B">
        <w:rPr>
          <w:rFonts w:ascii="Times New Roman" w:eastAsiaTheme="minorEastAsia" w:hAnsi="Times New Roman" w:cs="Times New Roman"/>
        </w:rPr>
        <w:t xml:space="preserve">, доцент, НИУ «МЭИ», кафедра ЭППЭ, 89251895152, </w:t>
      </w:r>
      <w:hyperlink r:id="rId53" w:history="1">
        <w:r w:rsidRPr="00D55E8B">
          <w:rPr>
            <w:rStyle w:val="a8"/>
            <w:rFonts w:ascii="Times New Roman" w:eastAsiaTheme="minorEastAsia" w:hAnsi="Times New Roman" w:cs="Times New Roman"/>
          </w:rPr>
          <w:t>RyzhkovaYN@mpei.ru</w:t>
        </w:r>
      </w:hyperlink>
    </w:p>
    <w:p w:rsidR="00D55E8B" w:rsidRPr="000B017F" w:rsidRDefault="000B017F" w:rsidP="000B017F">
      <w:pPr>
        <w:tabs>
          <w:tab w:val="left" w:pos="1089"/>
        </w:tabs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0B017F">
        <w:rPr>
          <w:rStyle w:val="a8"/>
          <w:rFonts w:ascii="Times New Roman" w:eastAsiaTheme="minorEastAsia" w:hAnsi="Times New Roman" w:cs="Times New Roman"/>
          <w:color w:val="auto"/>
          <w:lang w:val="en-US"/>
        </w:rPr>
        <w:t>_____________________________________________________________________________________</w:t>
      </w:r>
    </w:p>
    <w:p w:rsidR="005B7246" w:rsidRPr="00C82C02" w:rsidRDefault="000B017F" w:rsidP="00D55E8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017F">
        <w:rPr>
          <w:rFonts w:ascii="Times New Roman" w:hAnsi="Times New Roman" w:cs="Times New Roman"/>
          <w:b/>
          <w:sz w:val="24"/>
          <w:szCs w:val="24"/>
          <w:lang w:val="en-US"/>
        </w:rPr>
        <w:t>COMPARATIVE ANALYSIS OF THE FAILURE RATE OF DISTRIBUTION NETWORKS IN THE CONDITIONS OF A SINGLE-PHASE EARTH FAULT</w:t>
      </w:r>
    </w:p>
    <w:p w:rsidR="000B017F" w:rsidRPr="00C82C02" w:rsidRDefault="000B017F" w:rsidP="00D55E8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6D57" w:rsidRPr="000B017F" w:rsidRDefault="008E6D57" w:rsidP="008E6D57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lang w:val="en-US"/>
        </w:rPr>
      </w:pPr>
      <w:r w:rsidRPr="000B017F">
        <w:rPr>
          <w:rFonts w:ascii="Times New Roman" w:hAnsi="Times New Roman" w:cs="Times New Roman"/>
          <w:b/>
          <w:lang w:val="en-US"/>
        </w:rPr>
        <w:t>Mladzievskiy E.P.,  Ryzhkova E.N. </w:t>
      </w:r>
    </w:p>
    <w:p w:rsidR="008E6D57" w:rsidRPr="00C82C02" w:rsidRDefault="008E6D57" w:rsidP="008E6D57">
      <w:pPr>
        <w:spacing w:after="0" w:line="240" w:lineRule="auto"/>
        <w:ind w:firstLine="720"/>
        <w:jc w:val="right"/>
        <w:rPr>
          <w:rFonts w:ascii="Times New Roman" w:eastAsia="MS Mincho" w:hAnsi="Times New Roman" w:cs="Times New Roman"/>
          <w:i/>
          <w:lang w:val="en-US"/>
        </w:rPr>
      </w:pPr>
      <w:r w:rsidRPr="000B017F">
        <w:rPr>
          <w:rFonts w:ascii="Times New Roman" w:eastAsia="MS Mincho" w:hAnsi="Times New Roman" w:cs="Times New Roman"/>
          <w:i/>
          <w:lang w:val="en-US"/>
        </w:rPr>
        <w:t>Moscow, Moscow Power Engineering Institute National Research University</w:t>
      </w:r>
    </w:p>
    <w:p w:rsidR="000B017F" w:rsidRPr="00C82C02" w:rsidRDefault="000B017F" w:rsidP="008E6D57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42A6F" w:rsidRPr="000B017F" w:rsidRDefault="00242A6F" w:rsidP="00521868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42A6F">
        <w:rPr>
          <w:rFonts w:ascii="Times New Roman" w:hAnsi="Times New Roman" w:cs="Times New Roman"/>
          <w:sz w:val="20"/>
          <w:szCs w:val="20"/>
          <w:lang w:val="en-US"/>
        </w:rPr>
        <w:lastRenderedPageBreak/>
        <w:t>Reducing the negative consequences of single-phase earth faults leads to a significant increase in the reliability of power supply to consumers. The following factors are considered: overvoltage, ferroresonance, and harmonic components of current and voltage. The comparison was carried out for the isolated, compensated and resistively grounded neutral modes, it was found that the latter is most preferable.</w:t>
      </w:r>
    </w:p>
    <w:p w:rsidR="005B7246" w:rsidRPr="00C82C02" w:rsidRDefault="005B7246" w:rsidP="00521868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242A6F">
        <w:rPr>
          <w:rFonts w:ascii="Times New Roman" w:eastAsiaTheme="minorEastAsia" w:hAnsi="Times New Roman" w:cs="Times New Roman"/>
          <w:sz w:val="20"/>
          <w:szCs w:val="20"/>
          <w:lang w:val="en-US"/>
        </w:rPr>
        <w:t>Keywords: distribution network, single-phase earth fault, isolated neutral, neutral resistive grounding</w:t>
      </w:r>
    </w:p>
    <w:p w:rsidR="000B017F" w:rsidRPr="00C82C02" w:rsidRDefault="000B017F" w:rsidP="00521868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7003B3" w:rsidRPr="005812D5" w:rsidRDefault="007003B3" w:rsidP="0025702C">
      <w:pPr>
        <w:tabs>
          <w:tab w:val="left" w:pos="1089"/>
        </w:tabs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lang w:val="en-US"/>
        </w:rPr>
      </w:pPr>
      <w:r w:rsidRPr="005812D5">
        <w:rPr>
          <w:rFonts w:ascii="Times New Roman" w:eastAsiaTheme="minorEastAsia" w:hAnsi="Times New Roman" w:cs="Times New Roman"/>
          <w:lang w:val="en-US"/>
        </w:rPr>
        <w:t>List of references</w:t>
      </w:r>
    </w:p>
    <w:p w:rsidR="00576268" w:rsidRPr="005812D5" w:rsidRDefault="00576268" w:rsidP="005762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812D5">
        <w:rPr>
          <w:rFonts w:ascii="Times New Roman" w:hAnsi="Times New Roman" w:cs="Times New Roman"/>
          <w:color w:val="777777"/>
          <w:shd w:val="clear" w:color="auto" w:fill="FFFFFF"/>
          <w:lang w:val="en-US"/>
        </w:rPr>
        <w:t>1</w:t>
      </w:r>
      <w:r w:rsidRPr="005812D5">
        <w:rPr>
          <w:rFonts w:ascii="Times New Roman" w:hAnsi="Times New Roman" w:cs="Times New Roman"/>
          <w:shd w:val="clear" w:color="auto" w:fill="FFFFFF"/>
          <w:lang w:val="en-US"/>
        </w:rPr>
        <w:t xml:space="preserve">. Ukazaniya po primeneniyu pokazateley nadezhnosti elementov energosistem i raboty energoblokov s paroturbinnymi ustanovkami [Tekst]: RD 34.20.574: utv. Minenergo SSSR 03.09.1984: deystvuyet. </w:t>
      </w:r>
    </w:p>
    <w:p w:rsidR="00576268" w:rsidRPr="005812D5" w:rsidRDefault="00576268" w:rsidP="005762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812D5">
        <w:rPr>
          <w:rFonts w:ascii="Times New Roman" w:hAnsi="Times New Roman" w:cs="Times New Roman"/>
          <w:shd w:val="clear" w:color="auto" w:fill="FFFFFF"/>
          <w:lang w:val="en-US"/>
        </w:rPr>
        <w:t xml:space="preserve">2. Likhachev, F.A. Instruktsiya po vyboru, ustanovke i ekspluatatsii dugogasyashchikh katushek [Tekst]. – M.: Energiya, 1971 – 152 s. </w:t>
      </w:r>
    </w:p>
    <w:p w:rsidR="00576268" w:rsidRPr="005812D5" w:rsidRDefault="00576268" w:rsidP="005762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812D5">
        <w:rPr>
          <w:rFonts w:ascii="Times New Roman" w:hAnsi="Times New Roman" w:cs="Times New Roman"/>
          <w:shd w:val="clear" w:color="auto" w:fill="FFFFFF"/>
          <w:lang w:val="en-US"/>
        </w:rPr>
        <w:t xml:space="preserve">3. Kostarev, I.A. O sostoyanii zashchity ot odnofaznykh zamykaniy v raspredelitel'nykh setyakh 6-10 kV neftegazovykh predpriyatiy [Tekst]/ I.A. Kostarev, M.L. Sapunkov, S.YU. Zubarev // Vestnik PNIPU. Geologiya. Neftegazovoye i gornoye delo. - 2012. - № 3. - S. 148–153. </w:t>
      </w:r>
    </w:p>
    <w:p w:rsidR="00576268" w:rsidRPr="005812D5" w:rsidRDefault="00576268" w:rsidP="005762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812D5">
        <w:rPr>
          <w:rFonts w:ascii="Times New Roman" w:hAnsi="Times New Roman" w:cs="Times New Roman"/>
          <w:shd w:val="clear" w:color="auto" w:fill="FFFFFF"/>
          <w:lang w:val="en-US"/>
        </w:rPr>
        <w:t xml:space="preserve">4. Polozheniye PAO «Rosseti» «O yedinoy tekhnicheskoy politike v elektrosetevom komplekse» [Elektron. resurs] https://www.rosseti.ru/investment/science/tech/doc/tehpolitika.pdf (data obrashcheniya 15.09.2019) </w:t>
      </w:r>
    </w:p>
    <w:p w:rsidR="00576268" w:rsidRPr="005812D5" w:rsidRDefault="00576268" w:rsidP="005762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812D5">
        <w:rPr>
          <w:rFonts w:ascii="Times New Roman" w:hAnsi="Times New Roman" w:cs="Times New Roman"/>
          <w:shd w:val="clear" w:color="auto" w:fill="FFFFFF"/>
          <w:lang w:val="en-US"/>
        </w:rPr>
        <w:t xml:space="preserve">5. Sayenko, YU.L. Issledovaniye prichin povrezhdeniya transformatorov napryazheniya kontrolya izolyatsii [Tekst] / YU.L.Sayenko, A.S. Popov // Energosnabzheniye, energetika, energoaudit. - 2011. - №7 (89). - S. 59–66. </w:t>
      </w:r>
    </w:p>
    <w:p w:rsidR="00576268" w:rsidRPr="005812D5" w:rsidRDefault="00576268" w:rsidP="005762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812D5">
        <w:rPr>
          <w:rFonts w:ascii="Times New Roman" w:hAnsi="Times New Roman" w:cs="Times New Roman"/>
          <w:shd w:val="clear" w:color="auto" w:fill="FFFFFF"/>
          <w:lang w:val="en-US"/>
        </w:rPr>
        <w:t xml:space="preserve">6. Vishtibeyev, A.V. O neobkhodimosti perevoda elektricheskikh setey 6-35 kV na rezhim rezistivnogo zazemleniya neytrali [Tekst]// Problemy energetiki. - 2002. - № 3. - S. 24–29. </w:t>
      </w:r>
    </w:p>
    <w:p w:rsidR="00576268" w:rsidRPr="005812D5" w:rsidRDefault="00576268" w:rsidP="005762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812D5">
        <w:rPr>
          <w:rFonts w:ascii="Times New Roman" w:hAnsi="Times New Roman" w:cs="Times New Roman"/>
          <w:shd w:val="clear" w:color="auto" w:fill="FFFFFF"/>
          <w:lang w:val="en-US"/>
        </w:rPr>
        <w:t xml:space="preserve">7. Shkrabets, F.P. Optimizatsiya rezhimov raboty neytrali raspredelitel'nykh setey [Tekst]/ F.P. Shkrabets, A.I.Kovalev // Nauka i progress transporta. Vestnik Dnepropetrovskogo natsional'nogo universiteta zheleznodorozhnogo transporta. - 2009. - S. 67–70. </w:t>
      </w:r>
    </w:p>
    <w:p w:rsidR="00576268" w:rsidRPr="005812D5" w:rsidRDefault="00576268" w:rsidP="005762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812D5">
        <w:rPr>
          <w:rFonts w:ascii="Times New Roman" w:hAnsi="Times New Roman" w:cs="Times New Roman"/>
          <w:shd w:val="clear" w:color="auto" w:fill="FFFFFF"/>
          <w:lang w:val="en-US"/>
        </w:rPr>
        <w:t xml:space="preserve">8. Il'inykh, M.V. Kompleksnyy podkhod k vyboru sredstv ogranicheniya perenapryazheniy v setyakh 6,10 kV krupnykh promyshlennykh predpriyatiy tsellyulozo-bumazhnoy i metallurgicheskoy promyshlennosti/ M.V. Il'inykh, L.I. Sarin [Elektron. resurs] http://static.pnpbolid.com/pdf/IV-Conference-2006--13.pdf (data obrashcheniya 15.09.2019) </w:t>
      </w:r>
    </w:p>
    <w:p w:rsidR="00576268" w:rsidRPr="005812D5" w:rsidRDefault="00576268" w:rsidP="0057626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812D5">
        <w:rPr>
          <w:rFonts w:ascii="Times New Roman" w:hAnsi="Times New Roman" w:cs="Times New Roman"/>
          <w:shd w:val="clear" w:color="auto" w:fill="FFFFFF"/>
          <w:lang w:val="en-US"/>
        </w:rPr>
        <w:t xml:space="preserve">9. Vinokurova, T.YU. Matematicheskaya model' dlya otsenki minimal'nogo urovnya vysshikh garmonik v toke odnofaznogo zamykaniya na zemlyu v kompensirovannykh setyakh 6–10 kV [Tekst]/ T.YU. Vinokurova, Ye.S. Shagurina, V.A. Shuin // Vestnik IGEU. - 2013. - №6. - S. 35-41. </w:t>
      </w:r>
    </w:p>
    <w:p w:rsidR="00576268" w:rsidRPr="005812D5" w:rsidRDefault="00576268" w:rsidP="0057626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5812D5">
        <w:rPr>
          <w:rFonts w:ascii="Times New Roman" w:hAnsi="Times New Roman" w:cs="Times New Roman"/>
          <w:shd w:val="clear" w:color="auto" w:fill="FFFFFF"/>
          <w:lang w:val="en-US"/>
        </w:rPr>
        <w:t>10. Il'inykh, M.V. Issledovaniye protsessov pri metallicheskikh i dugovykh OZZ v usloviyakh rezistivno-zazemlonnoy i izolirovannoy neytrali v seti 6 kV PS «Kar'yernaya-2» OAO «Razrez Tugnuyskiy» [Tekst]/ M.V. Il'inykh, A.I. Shirkovets, A.A. Kuz'min, I.Ye. Volokitin // Gornyy informatsionno-analiticheskiy byulleten' (nauchno-tekhnicheskiy zhurnal). - 2011. - S. 344-360.</w:t>
      </w:r>
    </w:p>
    <w:p w:rsidR="00576268" w:rsidRPr="005812D5" w:rsidRDefault="00576268" w:rsidP="00576268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val="en-US"/>
        </w:rPr>
      </w:pPr>
    </w:p>
    <w:p w:rsidR="005C0A84" w:rsidRPr="005812D5" w:rsidRDefault="005C0A84" w:rsidP="007003B3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val="en-US"/>
        </w:rPr>
      </w:pPr>
    </w:p>
    <w:p w:rsidR="00A40FE9" w:rsidRPr="005812D5" w:rsidRDefault="00A40FE9" w:rsidP="007003B3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val="en-US"/>
        </w:rPr>
      </w:pPr>
      <w:r w:rsidRPr="005812D5">
        <w:rPr>
          <w:rFonts w:ascii="Times New Roman" w:eastAsiaTheme="minorEastAsia" w:hAnsi="Times New Roman" w:cs="Times New Roman"/>
          <w:b/>
          <w:lang w:val="en-US"/>
        </w:rPr>
        <w:t>Mladzievsky Evgeny Pavlovich</w:t>
      </w:r>
      <w:r w:rsidRPr="005812D5">
        <w:rPr>
          <w:rFonts w:ascii="Times New Roman" w:eastAsiaTheme="minorEastAsia" w:hAnsi="Times New Roman" w:cs="Times New Roman"/>
          <w:lang w:val="en-US"/>
        </w:rPr>
        <w:t>, graduate student,</w:t>
      </w:r>
      <w:r w:rsidR="003F74DE" w:rsidRPr="005812D5">
        <w:rPr>
          <w:rFonts w:ascii="Times New Roman" w:eastAsiaTheme="minorEastAsia" w:hAnsi="Times New Roman" w:cs="Times New Roman"/>
          <w:lang w:val="en-US"/>
        </w:rPr>
        <w:t xml:space="preserve"> national research university </w:t>
      </w:r>
      <w:r w:rsidR="003F74DE" w:rsidRPr="005812D5">
        <w:rPr>
          <w:rFonts w:ascii="Times New Roman" w:hAnsi="Times New Roman" w:cs="Times New Roman"/>
          <w:color w:val="282828"/>
          <w:shd w:val="clear" w:color="auto" w:fill="FFFFFF"/>
          <w:lang w:val="en-US"/>
        </w:rPr>
        <w:t>MPEI</w:t>
      </w:r>
      <w:r w:rsidR="003F74DE" w:rsidRPr="005812D5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="003F74DE" w:rsidRPr="005812D5">
        <w:rPr>
          <w:rFonts w:ascii="Times New Roman" w:hAnsi="Times New Roman" w:cs="Times New Roman"/>
          <w:spacing w:val="-15"/>
          <w:lang w:val="en-US"/>
        </w:rPr>
        <w:t>Dept. of Electric Supply of Industrial Enterprises</w:t>
      </w:r>
      <w:r w:rsidR="003F74DE" w:rsidRPr="005812D5">
        <w:rPr>
          <w:rFonts w:ascii="Times New Roman" w:hAnsi="Times New Roman" w:cs="Times New Roman"/>
          <w:bCs/>
          <w:spacing w:val="-15"/>
          <w:lang w:val="en-US"/>
        </w:rPr>
        <w:t xml:space="preserve"> </w:t>
      </w:r>
      <w:r w:rsidR="003F74DE" w:rsidRPr="005812D5">
        <w:rPr>
          <w:rFonts w:ascii="Times New Roman" w:hAnsi="Times New Roman" w:cs="Times New Roman"/>
          <w:spacing w:val="-15"/>
          <w:lang w:val="en-US"/>
        </w:rPr>
        <w:t>and Electrotechnologies</w:t>
      </w:r>
      <w:r w:rsidR="003F74DE" w:rsidRPr="005812D5">
        <w:rPr>
          <w:rFonts w:ascii="Times New Roman" w:hAnsi="Times New Roman" w:cs="Times New Roman"/>
          <w:bCs/>
          <w:spacing w:val="-15"/>
          <w:lang w:val="en-US"/>
        </w:rPr>
        <w:t xml:space="preserve">, </w:t>
      </w:r>
      <w:r w:rsidR="003F74DE" w:rsidRPr="005812D5">
        <w:rPr>
          <w:rFonts w:ascii="Times New Roman" w:eastAsiaTheme="minorEastAsia" w:hAnsi="Times New Roman" w:cs="Times New Roman"/>
          <w:lang w:val="en-US"/>
        </w:rPr>
        <w:t xml:space="preserve">89778075497, </w:t>
      </w:r>
      <w:hyperlink r:id="rId54" w:history="1">
        <w:r w:rsidR="003F74DE" w:rsidRPr="005812D5">
          <w:rPr>
            <w:rStyle w:val="a8"/>
            <w:rFonts w:ascii="Times New Roman" w:eastAsiaTheme="minorEastAsia" w:hAnsi="Times New Roman" w:cs="Times New Roman"/>
            <w:color w:val="auto"/>
            <w:lang w:val="en-US"/>
          </w:rPr>
          <w:t>ev.mladzievskiy@gmail.com</w:t>
        </w:r>
      </w:hyperlink>
    </w:p>
    <w:p w:rsidR="00A40FE9" w:rsidRPr="003F74DE" w:rsidRDefault="00A40FE9" w:rsidP="00A40FE9">
      <w:pPr>
        <w:pStyle w:val="2"/>
        <w:shd w:val="clear" w:color="auto" w:fill="FFFFFF"/>
        <w:spacing w:before="105" w:beforeAutospacing="0" w:after="180" w:afterAutospacing="0"/>
        <w:rPr>
          <w:b w:val="0"/>
          <w:bCs w:val="0"/>
          <w:spacing w:val="-15"/>
          <w:sz w:val="22"/>
          <w:szCs w:val="22"/>
          <w:lang w:val="en-US"/>
        </w:rPr>
      </w:pPr>
      <w:r w:rsidRPr="005812D5">
        <w:rPr>
          <w:rFonts w:eastAsiaTheme="minorEastAsia"/>
          <w:sz w:val="22"/>
          <w:szCs w:val="22"/>
          <w:lang w:val="en-US"/>
        </w:rPr>
        <w:t>Ryzhkova Elena Nikolaevna</w:t>
      </w:r>
      <w:r w:rsidRPr="005812D5">
        <w:rPr>
          <w:rFonts w:eastAsiaTheme="minorEastAsia"/>
          <w:b w:val="0"/>
          <w:sz w:val="22"/>
          <w:szCs w:val="22"/>
          <w:lang w:val="en-US"/>
        </w:rPr>
        <w:t xml:space="preserve">, Doctor of Technical Science, Associate Professor, </w:t>
      </w:r>
      <w:r w:rsidR="003F74DE" w:rsidRPr="005812D5">
        <w:rPr>
          <w:rFonts w:eastAsiaTheme="minorEastAsia"/>
          <w:b w:val="0"/>
          <w:sz w:val="22"/>
          <w:szCs w:val="22"/>
          <w:lang w:val="en-US"/>
        </w:rPr>
        <w:t xml:space="preserve">national research university </w:t>
      </w:r>
      <w:r w:rsidR="003F74DE" w:rsidRPr="005812D5">
        <w:rPr>
          <w:b w:val="0"/>
          <w:color w:val="282828"/>
          <w:sz w:val="22"/>
          <w:szCs w:val="22"/>
          <w:shd w:val="clear" w:color="auto" w:fill="FFFFFF"/>
          <w:lang w:val="en-US"/>
        </w:rPr>
        <w:t>MPEI</w:t>
      </w:r>
      <w:r w:rsidR="003F74DE" w:rsidRPr="005812D5">
        <w:rPr>
          <w:b w:val="0"/>
          <w:sz w:val="22"/>
          <w:szCs w:val="22"/>
          <w:shd w:val="clear" w:color="auto" w:fill="FFFFFF"/>
          <w:lang w:val="en-US"/>
        </w:rPr>
        <w:t xml:space="preserve">, </w:t>
      </w:r>
      <w:r w:rsidRPr="005812D5">
        <w:rPr>
          <w:b w:val="0"/>
          <w:bCs w:val="0"/>
          <w:spacing w:val="-15"/>
          <w:sz w:val="22"/>
          <w:szCs w:val="22"/>
          <w:lang w:val="en-US"/>
        </w:rPr>
        <w:t>Dept. of Electric Supply of Industrial Enterprises</w:t>
      </w:r>
      <w:r w:rsidR="003F74DE" w:rsidRPr="005812D5">
        <w:rPr>
          <w:b w:val="0"/>
          <w:bCs w:val="0"/>
          <w:spacing w:val="-15"/>
          <w:sz w:val="22"/>
          <w:szCs w:val="22"/>
          <w:lang w:val="en-US"/>
        </w:rPr>
        <w:t xml:space="preserve"> and Electrotechnologies, </w:t>
      </w:r>
      <w:r w:rsidR="003F74DE" w:rsidRPr="005812D5">
        <w:rPr>
          <w:rFonts w:eastAsiaTheme="minorEastAsia"/>
          <w:color w:val="FF0000"/>
          <w:sz w:val="22"/>
          <w:szCs w:val="22"/>
          <w:lang w:val="en-US"/>
        </w:rPr>
        <w:t xml:space="preserve"> </w:t>
      </w:r>
      <w:r w:rsidR="003F74DE" w:rsidRPr="005812D5">
        <w:rPr>
          <w:rFonts w:eastAsiaTheme="minorEastAsia"/>
          <w:b w:val="0"/>
          <w:sz w:val="22"/>
          <w:szCs w:val="22"/>
          <w:lang w:val="en-US"/>
        </w:rPr>
        <w:t xml:space="preserve">89251895152, </w:t>
      </w:r>
      <w:hyperlink r:id="rId55" w:history="1">
        <w:r w:rsidR="003F74DE" w:rsidRPr="005812D5">
          <w:rPr>
            <w:rStyle w:val="a8"/>
            <w:rFonts w:eastAsiaTheme="minorEastAsia"/>
            <w:b w:val="0"/>
            <w:color w:val="auto"/>
            <w:sz w:val="22"/>
            <w:szCs w:val="22"/>
            <w:lang w:val="en-US"/>
          </w:rPr>
          <w:t>RyzhkovaYN@mpei.ru</w:t>
        </w:r>
      </w:hyperlink>
    </w:p>
    <w:p w:rsidR="00A40FE9" w:rsidRPr="00A40FE9" w:rsidRDefault="00A40FE9" w:rsidP="007003B3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0B017F" w:rsidRPr="005812D5" w:rsidRDefault="000B017F" w:rsidP="00521868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0B017F" w:rsidRPr="00576268" w:rsidRDefault="000B017F" w:rsidP="00521868">
      <w:pPr>
        <w:tabs>
          <w:tab w:val="left" w:pos="1089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sectPr w:rsidR="000B017F" w:rsidRPr="00576268" w:rsidSect="004C0A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17C40"/>
    <w:multiLevelType w:val="hybridMultilevel"/>
    <w:tmpl w:val="ED72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07CF0"/>
    <w:multiLevelType w:val="hybridMultilevel"/>
    <w:tmpl w:val="82FEA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CD"/>
    <w:rsid w:val="00067E28"/>
    <w:rsid w:val="00092FBA"/>
    <w:rsid w:val="000B017F"/>
    <w:rsid w:val="000E7C61"/>
    <w:rsid w:val="00115C29"/>
    <w:rsid w:val="00123AE7"/>
    <w:rsid w:val="0017318A"/>
    <w:rsid w:val="0017587C"/>
    <w:rsid w:val="001D2273"/>
    <w:rsid w:val="001D62CB"/>
    <w:rsid w:val="0023290A"/>
    <w:rsid w:val="00242A6F"/>
    <w:rsid w:val="002559E6"/>
    <w:rsid w:val="0025702C"/>
    <w:rsid w:val="002B1BE7"/>
    <w:rsid w:val="003149A7"/>
    <w:rsid w:val="003162B4"/>
    <w:rsid w:val="00361C96"/>
    <w:rsid w:val="003F74DE"/>
    <w:rsid w:val="004152F1"/>
    <w:rsid w:val="004C0AA9"/>
    <w:rsid w:val="004E6138"/>
    <w:rsid w:val="004F0D4E"/>
    <w:rsid w:val="00521868"/>
    <w:rsid w:val="00576268"/>
    <w:rsid w:val="005812D5"/>
    <w:rsid w:val="005B7246"/>
    <w:rsid w:val="005C0A84"/>
    <w:rsid w:val="005E4A2B"/>
    <w:rsid w:val="005E7BB6"/>
    <w:rsid w:val="005F6822"/>
    <w:rsid w:val="00640908"/>
    <w:rsid w:val="006655C1"/>
    <w:rsid w:val="007003B3"/>
    <w:rsid w:val="00716A03"/>
    <w:rsid w:val="007E4CC1"/>
    <w:rsid w:val="00872529"/>
    <w:rsid w:val="008A2A6D"/>
    <w:rsid w:val="008E6D57"/>
    <w:rsid w:val="00990FB7"/>
    <w:rsid w:val="00991049"/>
    <w:rsid w:val="009F3165"/>
    <w:rsid w:val="009F4D00"/>
    <w:rsid w:val="00A04633"/>
    <w:rsid w:val="00A40FE9"/>
    <w:rsid w:val="00A44456"/>
    <w:rsid w:val="00A54F52"/>
    <w:rsid w:val="00A70ADA"/>
    <w:rsid w:val="00A86346"/>
    <w:rsid w:val="00B23ADA"/>
    <w:rsid w:val="00B33835"/>
    <w:rsid w:val="00B4579C"/>
    <w:rsid w:val="00B7072D"/>
    <w:rsid w:val="00BD3DF0"/>
    <w:rsid w:val="00C53612"/>
    <w:rsid w:val="00C60AEA"/>
    <w:rsid w:val="00C729AF"/>
    <w:rsid w:val="00C73EBE"/>
    <w:rsid w:val="00C82C02"/>
    <w:rsid w:val="00CB0612"/>
    <w:rsid w:val="00CB1380"/>
    <w:rsid w:val="00CD534A"/>
    <w:rsid w:val="00D264BD"/>
    <w:rsid w:val="00D55E8B"/>
    <w:rsid w:val="00D63641"/>
    <w:rsid w:val="00D97EBF"/>
    <w:rsid w:val="00DA53CD"/>
    <w:rsid w:val="00E40014"/>
    <w:rsid w:val="00E766EF"/>
    <w:rsid w:val="00EE5D99"/>
    <w:rsid w:val="00EF4886"/>
    <w:rsid w:val="00F46475"/>
    <w:rsid w:val="00F553A9"/>
    <w:rsid w:val="00FD0D70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CD"/>
  </w:style>
  <w:style w:type="paragraph" w:styleId="2">
    <w:name w:val="heading 2"/>
    <w:basedOn w:val="a"/>
    <w:link w:val="20"/>
    <w:uiPriority w:val="9"/>
    <w:qFormat/>
    <w:rsid w:val="00A40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3C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A53CD"/>
    <w:rPr>
      <w:color w:val="808080"/>
    </w:rPr>
  </w:style>
  <w:style w:type="table" w:styleId="a5">
    <w:name w:val="Table Grid"/>
    <w:basedOn w:val="a1"/>
    <w:uiPriority w:val="39"/>
    <w:rsid w:val="00DA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53CD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0"/>
    <w:rsid w:val="00CD534A"/>
    <w:pPr>
      <w:tabs>
        <w:tab w:val="center" w:pos="4420"/>
        <w:tab w:val="right" w:pos="8840"/>
      </w:tabs>
      <w:spacing w:line="36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MTDisplayEquation0">
    <w:name w:val="MTDisplayEquation Знак"/>
    <w:basedOn w:val="a0"/>
    <w:link w:val="MTDisplayEquation"/>
    <w:rsid w:val="00CD534A"/>
    <w:rPr>
      <w:rFonts w:ascii="Times New Roman" w:eastAsiaTheme="minorEastAsia" w:hAnsi="Times New Roman" w:cs="Times New Roman"/>
      <w:sz w:val="28"/>
      <w:szCs w:val="28"/>
    </w:rPr>
  </w:style>
  <w:style w:type="paragraph" w:customStyle="1" w:styleId="5">
    <w:name w:val="5_ЛитСсылка"/>
    <w:rsid w:val="00A70ADA"/>
    <w:pPr>
      <w:spacing w:after="0" w:line="232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A70AD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4090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40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CD"/>
  </w:style>
  <w:style w:type="paragraph" w:styleId="2">
    <w:name w:val="heading 2"/>
    <w:basedOn w:val="a"/>
    <w:link w:val="20"/>
    <w:uiPriority w:val="9"/>
    <w:qFormat/>
    <w:rsid w:val="00A40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3C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A53CD"/>
    <w:rPr>
      <w:color w:val="808080"/>
    </w:rPr>
  </w:style>
  <w:style w:type="table" w:styleId="a5">
    <w:name w:val="Table Grid"/>
    <w:basedOn w:val="a1"/>
    <w:uiPriority w:val="39"/>
    <w:rsid w:val="00DA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53CD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0"/>
    <w:rsid w:val="00CD534A"/>
    <w:pPr>
      <w:tabs>
        <w:tab w:val="center" w:pos="4420"/>
        <w:tab w:val="right" w:pos="8840"/>
      </w:tabs>
      <w:spacing w:line="36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MTDisplayEquation0">
    <w:name w:val="MTDisplayEquation Знак"/>
    <w:basedOn w:val="a0"/>
    <w:link w:val="MTDisplayEquation"/>
    <w:rsid w:val="00CD534A"/>
    <w:rPr>
      <w:rFonts w:ascii="Times New Roman" w:eastAsiaTheme="minorEastAsia" w:hAnsi="Times New Roman" w:cs="Times New Roman"/>
      <w:sz w:val="28"/>
      <w:szCs w:val="28"/>
    </w:rPr>
  </w:style>
  <w:style w:type="paragraph" w:customStyle="1" w:styleId="5">
    <w:name w:val="5_ЛитСсылка"/>
    <w:rsid w:val="00A70ADA"/>
    <w:pPr>
      <w:spacing w:after="0" w:line="232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A70AD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4090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40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hyperlink" Target="https://www.rosseti.ru/investment/science/tech/doc/tehpolitika.pdf" TargetMode="External"/><Relationship Id="rId55" Type="http://schemas.openxmlformats.org/officeDocument/2006/relationships/hyperlink" Target="mailto:RyzhkovaYN@mpei.ru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hyperlink" Target="mailto:ev.mladzievskiy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hyperlink" Target="mailto:RyzhkovaYN@mpei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hyperlink" Target="mailto:ev.mladzievskiy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hyperlink" Target="http://static.pnpbolid.com/pdf/IV-Conference-2006--13.pd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Admin</cp:lastModifiedBy>
  <cp:revision>12</cp:revision>
  <dcterms:created xsi:type="dcterms:W3CDTF">2019-11-28T15:48:00Z</dcterms:created>
  <dcterms:modified xsi:type="dcterms:W3CDTF">2019-11-29T10:12:00Z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