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6CB5" w:rsidRPr="004B48A7" w:rsidRDefault="00ED6CB5" w:rsidP="00ED6CB5">
      <w:pPr>
        <w:spacing w:after="0" w:line="240" w:lineRule="auto"/>
        <w:jc w:val="both"/>
        <w:rPr>
          <w:sz w:val="24"/>
          <w:szCs w:val="24"/>
        </w:rPr>
      </w:pPr>
      <w:r w:rsidRPr="004B48A7">
        <w:rPr>
          <w:sz w:val="24"/>
          <w:szCs w:val="24"/>
        </w:rPr>
        <w:t xml:space="preserve">УДК </w:t>
      </w:r>
      <w:hyperlink r:id="rId7" w:history="1">
        <w:r w:rsidRPr="004B48A7">
          <w:rPr>
            <w:sz w:val="24"/>
            <w:szCs w:val="24"/>
          </w:rPr>
          <w:t>621.315</w:t>
        </w:r>
      </w:hyperlink>
    </w:p>
    <w:p w:rsidR="00A46CC4" w:rsidRPr="004B48A7" w:rsidRDefault="00D3288E" w:rsidP="003210D2">
      <w:pPr>
        <w:spacing w:after="0" w:line="240" w:lineRule="auto"/>
        <w:jc w:val="center"/>
        <w:rPr>
          <w:b/>
          <w:sz w:val="24"/>
          <w:szCs w:val="24"/>
        </w:rPr>
      </w:pPr>
      <w:r w:rsidRPr="004B48A7">
        <w:rPr>
          <w:b/>
          <w:sz w:val="24"/>
          <w:szCs w:val="24"/>
        </w:rPr>
        <w:t>ИССЛЕДОВАНИЕ ХАРАКТЕРИСТИК ДИЗЕЛЬНЫХ ЭЛЕКТРОСТАНЦИЙ, РАБОТАЮЩИХ НА Д</w:t>
      </w:r>
      <w:r w:rsidR="003210D2">
        <w:rPr>
          <w:b/>
          <w:sz w:val="24"/>
          <w:szCs w:val="24"/>
        </w:rPr>
        <w:t>ИЗЕЛЬНОМ ТОПЛИВЕ С БИОДОБАВКАМИ</w:t>
      </w:r>
    </w:p>
    <w:p w:rsidR="00ED6CB5" w:rsidRPr="004B48A7" w:rsidRDefault="00ED6CB5" w:rsidP="00ED6CB5">
      <w:pPr>
        <w:spacing w:after="0" w:line="240" w:lineRule="auto"/>
        <w:jc w:val="both"/>
        <w:rPr>
          <w:b/>
          <w:sz w:val="24"/>
          <w:szCs w:val="24"/>
        </w:rPr>
      </w:pPr>
    </w:p>
    <w:p w:rsidR="00D3288E" w:rsidRPr="004B48A7" w:rsidRDefault="00ED6CB5" w:rsidP="00E221E1">
      <w:pPr>
        <w:spacing w:after="0" w:line="240" w:lineRule="auto"/>
        <w:ind w:firstLine="720"/>
        <w:jc w:val="right"/>
        <w:rPr>
          <w:b/>
          <w:sz w:val="24"/>
          <w:szCs w:val="24"/>
        </w:rPr>
      </w:pPr>
      <w:r w:rsidRPr="004B48A7">
        <w:rPr>
          <w:b/>
          <w:sz w:val="24"/>
          <w:szCs w:val="24"/>
        </w:rPr>
        <w:t>Кольниченко Г.И.</w:t>
      </w:r>
      <w:r w:rsidR="00D3288E" w:rsidRPr="004B48A7">
        <w:rPr>
          <w:b/>
          <w:sz w:val="24"/>
          <w:szCs w:val="24"/>
        </w:rPr>
        <w:t xml:space="preserve">, </w:t>
      </w:r>
      <w:r w:rsidRPr="004B48A7">
        <w:rPr>
          <w:b/>
          <w:sz w:val="24"/>
          <w:szCs w:val="24"/>
        </w:rPr>
        <w:t>Тарлаков Я.В.</w:t>
      </w:r>
      <w:r w:rsidR="00D3288E" w:rsidRPr="004B48A7">
        <w:rPr>
          <w:b/>
          <w:sz w:val="24"/>
          <w:szCs w:val="24"/>
        </w:rPr>
        <w:t xml:space="preserve">, </w:t>
      </w:r>
      <w:r w:rsidRPr="004B48A7">
        <w:rPr>
          <w:b/>
          <w:sz w:val="24"/>
          <w:szCs w:val="24"/>
        </w:rPr>
        <w:t>Сиротов</w:t>
      </w:r>
      <w:r w:rsidR="00D3288E" w:rsidRPr="004B48A7">
        <w:rPr>
          <w:b/>
          <w:sz w:val="24"/>
          <w:szCs w:val="24"/>
        </w:rPr>
        <w:t xml:space="preserve"> А.В.</w:t>
      </w:r>
    </w:p>
    <w:p w:rsidR="00D3288E" w:rsidRPr="004B48A7" w:rsidRDefault="00D3288E" w:rsidP="00E221E1">
      <w:pPr>
        <w:spacing w:after="0" w:line="240" w:lineRule="auto"/>
        <w:ind w:firstLine="720"/>
        <w:jc w:val="right"/>
        <w:rPr>
          <w:i/>
          <w:sz w:val="24"/>
          <w:szCs w:val="24"/>
        </w:rPr>
      </w:pPr>
      <w:r w:rsidRPr="004B48A7">
        <w:rPr>
          <w:i/>
          <w:sz w:val="24"/>
          <w:szCs w:val="24"/>
        </w:rPr>
        <w:t xml:space="preserve">Россия, </w:t>
      </w:r>
      <w:r w:rsidR="00ED6CB5" w:rsidRPr="004B48A7">
        <w:rPr>
          <w:i/>
          <w:sz w:val="24"/>
          <w:szCs w:val="24"/>
        </w:rPr>
        <w:t>Мытищи</w:t>
      </w:r>
      <w:r w:rsidRPr="004B48A7">
        <w:rPr>
          <w:i/>
          <w:sz w:val="24"/>
          <w:szCs w:val="24"/>
        </w:rPr>
        <w:t xml:space="preserve">, </w:t>
      </w:r>
      <w:r w:rsidR="00ED6CB5" w:rsidRPr="004B48A7">
        <w:rPr>
          <w:i/>
          <w:sz w:val="24"/>
          <w:szCs w:val="24"/>
        </w:rPr>
        <w:t>Мытищинский филиал МГТУ им. Н.Э. Баумана</w:t>
      </w:r>
    </w:p>
    <w:p w:rsidR="00D3288E" w:rsidRPr="004B48A7" w:rsidRDefault="00D3288E" w:rsidP="00E221E1">
      <w:pPr>
        <w:spacing w:after="0" w:line="240" w:lineRule="auto"/>
        <w:ind w:firstLine="720"/>
        <w:jc w:val="center"/>
        <w:rPr>
          <w:sz w:val="24"/>
          <w:szCs w:val="24"/>
        </w:rPr>
      </w:pPr>
    </w:p>
    <w:p w:rsidR="00D3288E" w:rsidRPr="00B522BB" w:rsidRDefault="002C6A08" w:rsidP="00E221E1">
      <w:pPr>
        <w:spacing w:after="0" w:line="240" w:lineRule="auto"/>
        <w:ind w:firstLine="720"/>
        <w:jc w:val="both"/>
        <w:rPr>
          <w:i/>
          <w:sz w:val="20"/>
          <w:szCs w:val="20"/>
        </w:rPr>
      </w:pPr>
      <w:r w:rsidRPr="00B522BB">
        <w:rPr>
          <w:i/>
          <w:sz w:val="20"/>
          <w:szCs w:val="20"/>
        </w:rPr>
        <w:t>В докладе из</w:t>
      </w:r>
      <w:r w:rsidR="00A61D82" w:rsidRPr="00B522BB">
        <w:rPr>
          <w:i/>
          <w:sz w:val="20"/>
          <w:szCs w:val="20"/>
        </w:rPr>
        <w:t xml:space="preserve">лагаются основные положения методики и </w:t>
      </w:r>
      <w:r w:rsidRPr="00B522BB">
        <w:rPr>
          <w:i/>
          <w:sz w:val="20"/>
          <w:szCs w:val="20"/>
        </w:rPr>
        <w:t xml:space="preserve">результаты аналитического и экспериментального исследования влияния биодобавок в дизельное топливо на основные характеристики дизельных двигателей и определения рациональных режимов дизельных электростанций с учетом ограничений по мощностным, экономическим и экологическим показателям. </w:t>
      </w:r>
    </w:p>
    <w:p w:rsidR="00E221E1" w:rsidRPr="00B522BB" w:rsidRDefault="00D3288E" w:rsidP="00E221E1">
      <w:pPr>
        <w:spacing w:after="0" w:line="240" w:lineRule="auto"/>
        <w:ind w:firstLine="720"/>
        <w:jc w:val="both"/>
        <w:rPr>
          <w:i/>
          <w:sz w:val="20"/>
          <w:szCs w:val="20"/>
        </w:rPr>
      </w:pPr>
      <w:r w:rsidRPr="00B522BB">
        <w:rPr>
          <w:i/>
          <w:sz w:val="20"/>
          <w:szCs w:val="20"/>
        </w:rPr>
        <w:t xml:space="preserve">Ключевые слова: </w:t>
      </w:r>
      <w:r w:rsidR="00A61D82" w:rsidRPr="00B522BB">
        <w:rPr>
          <w:i/>
          <w:sz w:val="20"/>
          <w:szCs w:val="20"/>
        </w:rPr>
        <w:t>дизельная электростанция, биотопливо, рапсовое масло, малая распределенная энергетика</w:t>
      </w:r>
      <w:r w:rsidRPr="00B522BB">
        <w:rPr>
          <w:i/>
          <w:sz w:val="20"/>
          <w:szCs w:val="20"/>
        </w:rPr>
        <w:t>, энерго</w:t>
      </w:r>
      <w:r w:rsidR="00A61D82" w:rsidRPr="00B522BB">
        <w:rPr>
          <w:i/>
          <w:sz w:val="20"/>
          <w:szCs w:val="20"/>
        </w:rPr>
        <w:t>снаб</w:t>
      </w:r>
      <w:r w:rsidRPr="00B522BB">
        <w:rPr>
          <w:i/>
          <w:sz w:val="20"/>
          <w:szCs w:val="20"/>
        </w:rPr>
        <w:t>жение</w:t>
      </w:r>
      <w:r w:rsidR="00A61D82" w:rsidRPr="00B522BB">
        <w:rPr>
          <w:i/>
          <w:sz w:val="20"/>
          <w:szCs w:val="20"/>
        </w:rPr>
        <w:t>.</w:t>
      </w:r>
    </w:p>
    <w:p w:rsidR="00E221E1" w:rsidRPr="004B48A7" w:rsidRDefault="00E221E1" w:rsidP="00E221E1">
      <w:pPr>
        <w:spacing w:after="0" w:line="240" w:lineRule="auto"/>
        <w:ind w:firstLine="720"/>
        <w:jc w:val="both"/>
        <w:rPr>
          <w:b/>
          <w:i/>
          <w:sz w:val="24"/>
          <w:szCs w:val="24"/>
        </w:rPr>
      </w:pPr>
    </w:p>
    <w:p w:rsidR="00597373" w:rsidRPr="004B48A7" w:rsidRDefault="00597373" w:rsidP="00E221E1">
      <w:pPr>
        <w:spacing w:after="0" w:line="240" w:lineRule="auto"/>
        <w:ind w:firstLine="720"/>
        <w:jc w:val="both"/>
        <w:rPr>
          <w:sz w:val="24"/>
          <w:szCs w:val="24"/>
        </w:rPr>
      </w:pPr>
      <w:r w:rsidRPr="004B48A7">
        <w:rPr>
          <w:sz w:val="24"/>
          <w:szCs w:val="24"/>
        </w:rPr>
        <w:t xml:space="preserve">Россия – один из лидеров мирового энергетического рынка: она занимает первое место по экспорту газа, второе – нефти, третье  </w:t>
      </w:r>
      <w:r w:rsidR="00A4797B" w:rsidRPr="004B48A7">
        <w:rPr>
          <w:sz w:val="24"/>
          <w:szCs w:val="24"/>
        </w:rPr>
        <w:t>–</w:t>
      </w:r>
      <w:r w:rsidRPr="004B48A7">
        <w:rPr>
          <w:sz w:val="24"/>
          <w:szCs w:val="24"/>
        </w:rPr>
        <w:t xml:space="preserve"> угля [1]. Минэнерго планирует сохранить это лидерство и впредь, соответственно учитывая все актуальные тренды и тенденции мирового развития. Ключевой из них – стремительное технологическое развитие. В России создаются технологии, оборудование, прикладные научные разработки, </w:t>
      </w:r>
      <w:r w:rsidR="00E4456E" w:rsidRPr="004B48A7">
        <w:rPr>
          <w:sz w:val="24"/>
          <w:szCs w:val="24"/>
        </w:rPr>
        <w:t>обеспечивающие рост эффективности использования энергоресурсов как сегодняшнего, так и завтрашнего дня. Россия может и должна стать экспортером высокотехнологичной продукции мирового класса, то есть, сохраняя свои позиции на традиционных технологических рынках, она должна стремиться к лидерству на рынках «энергетики будущего».</w:t>
      </w:r>
    </w:p>
    <w:p w:rsidR="00E4456E" w:rsidRPr="004B48A7" w:rsidRDefault="00E4456E" w:rsidP="00E221E1">
      <w:pPr>
        <w:spacing w:after="0" w:line="240" w:lineRule="auto"/>
        <w:ind w:firstLine="720"/>
        <w:jc w:val="both"/>
        <w:rPr>
          <w:sz w:val="24"/>
          <w:szCs w:val="24"/>
        </w:rPr>
      </w:pPr>
      <w:r w:rsidRPr="004B48A7">
        <w:rPr>
          <w:sz w:val="24"/>
          <w:szCs w:val="24"/>
        </w:rPr>
        <w:t>Как известно, в России около 70% территории не охвачено централизованным электроснабжение</w:t>
      </w:r>
      <w:r w:rsidR="001D21C1" w:rsidRPr="004B48A7">
        <w:rPr>
          <w:sz w:val="24"/>
          <w:szCs w:val="24"/>
        </w:rPr>
        <w:t>м</w:t>
      </w:r>
      <w:r w:rsidRPr="004B48A7">
        <w:rPr>
          <w:sz w:val="24"/>
          <w:szCs w:val="24"/>
        </w:rPr>
        <w:t>, где проживает свыше 20 миллионов человек. Эксперты видят решение проблем энергообеспечения таких территорий в использовании альтернативных источников энергии, а также в переходе потребителей на свою генерацию, то есть речь идет о создании и использовании</w:t>
      </w:r>
      <w:r w:rsidR="00F15540" w:rsidRPr="004B48A7">
        <w:rPr>
          <w:sz w:val="24"/>
          <w:szCs w:val="24"/>
        </w:rPr>
        <w:t xml:space="preserve"> технологии малой (распределенной) энергетики в изолированных и удаленных системах электроснабжения. В первую очередь к ним относятся: Карелия, Якутия, Архангельская, Магаданская, Мурманская, Амурская, Сахалинская области, а также Камчатка, Чукотка, Югра, Ямало-Ненецкий АО.</w:t>
      </w:r>
    </w:p>
    <w:p w:rsidR="00F15540" w:rsidRPr="004B48A7" w:rsidRDefault="00F15540" w:rsidP="00E221E1">
      <w:pPr>
        <w:spacing w:after="0" w:line="240" w:lineRule="auto"/>
        <w:ind w:firstLine="720"/>
        <w:jc w:val="both"/>
        <w:rPr>
          <w:sz w:val="24"/>
          <w:szCs w:val="24"/>
        </w:rPr>
      </w:pPr>
      <w:r w:rsidRPr="004B48A7">
        <w:rPr>
          <w:sz w:val="24"/>
          <w:szCs w:val="24"/>
        </w:rPr>
        <w:t>Распределенная энергетика предполагает строительство потребителями собственных источников энергии. В рамках распределенной генерации на основе новых технологий используются источники эне</w:t>
      </w:r>
      <w:r w:rsidR="009E086F" w:rsidRPr="004B48A7">
        <w:rPr>
          <w:sz w:val="24"/>
          <w:szCs w:val="24"/>
        </w:rPr>
        <w:t>р</w:t>
      </w:r>
      <w:r w:rsidRPr="004B48A7">
        <w:rPr>
          <w:sz w:val="24"/>
          <w:szCs w:val="24"/>
        </w:rPr>
        <w:t xml:space="preserve">гии </w:t>
      </w:r>
      <w:r w:rsidR="009E086F" w:rsidRPr="004B48A7">
        <w:rPr>
          <w:sz w:val="24"/>
          <w:szCs w:val="24"/>
        </w:rPr>
        <w:t>компактных размеров или мобильной конструкции, а также распределенные сети, которые производят тепловую и электрическую энергию для собственных нужд и направляют излишки в общую сеть.</w:t>
      </w:r>
    </w:p>
    <w:p w:rsidR="009E086F" w:rsidRPr="004B48A7" w:rsidRDefault="009E086F" w:rsidP="00E221E1">
      <w:pPr>
        <w:spacing w:after="0" w:line="240" w:lineRule="auto"/>
        <w:ind w:firstLine="720"/>
        <w:jc w:val="both"/>
        <w:rPr>
          <w:sz w:val="24"/>
          <w:szCs w:val="24"/>
        </w:rPr>
      </w:pPr>
      <w:r w:rsidRPr="004B48A7">
        <w:rPr>
          <w:sz w:val="24"/>
          <w:szCs w:val="24"/>
        </w:rPr>
        <w:t>В настоящее время ежегодно в удаленные и изолированные системы энергоснабжения России завозят до 5 миллионов тонн нефтепродуктов (чаще дизельное топливо) и 2 миллиона тонн угля. Себестоимость электроэнергии здесь очень велика. Высокие тарифы на электроэнерги</w:t>
      </w:r>
      <w:r w:rsidR="001D21C1" w:rsidRPr="004B48A7">
        <w:rPr>
          <w:sz w:val="24"/>
          <w:szCs w:val="24"/>
        </w:rPr>
        <w:t>ю снижают конкурентоспособность</w:t>
      </w:r>
      <w:r w:rsidRPr="004B48A7">
        <w:rPr>
          <w:sz w:val="24"/>
          <w:szCs w:val="24"/>
        </w:rPr>
        <w:t xml:space="preserve"> продукции большинства отраслей и более того заставляют потребителей отказываться от централизованного </w:t>
      </w:r>
      <w:r w:rsidR="001D21C1" w:rsidRPr="004B48A7">
        <w:rPr>
          <w:sz w:val="24"/>
          <w:szCs w:val="24"/>
        </w:rPr>
        <w:t>электро</w:t>
      </w:r>
      <w:r w:rsidRPr="004B48A7">
        <w:rPr>
          <w:sz w:val="24"/>
          <w:szCs w:val="24"/>
        </w:rPr>
        <w:t xml:space="preserve">снабжения. Число таких потребителей растет: уже многим предприятиям выгоднее иметь свой источник электроэнергии, чем покупать ее у </w:t>
      </w:r>
      <w:r w:rsidR="009F293A" w:rsidRPr="004B48A7">
        <w:rPr>
          <w:sz w:val="24"/>
          <w:szCs w:val="24"/>
        </w:rPr>
        <w:t>энергосистемы. Не случайно статистика показывает рост числа двигателей внутреннего сгорания для электростанций автономного электроснабжения. Таким образом наблюдается развитие распределенной генерации, которая востребована как в сегменте традиционной, так и нетрадиционной энергетики. В</w:t>
      </w:r>
      <w:r w:rsidR="001D21C1" w:rsidRPr="004B48A7">
        <w:rPr>
          <w:sz w:val="24"/>
          <w:szCs w:val="24"/>
        </w:rPr>
        <w:t>о все</w:t>
      </w:r>
      <w:r w:rsidR="009F293A" w:rsidRPr="004B48A7">
        <w:rPr>
          <w:sz w:val="24"/>
          <w:szCs w:val="24"/>
        </w:rPr>
        <w:t xml:space="preserve"> более широких масштабах используется системы автономного электроснабжения, которые наряду с дизель-генераторами используют установки с различными возобновляемыми источниками энергии (ВИЭ). </w:t>
      </w:r>
      <w:r w:rsidR="00852F21" w:rsidRPr="004B48A7">
        <w:rPr>
          <w:sz w:val="24"/>
          <w:szCs w:val="24"/>
        </w:rPr>
        <w:t>Малая (распределенная) энергетика рассматривается сегодня как важнейшая составляющая развития мировой энергетики.</w:t>
      </w:r>
    </w:p>
    <w:p w:rsidR="00852F21" w:rsidRPr="004B48A7" w:rsidRDefault="00852F21" w:rsidP="00E221E1">
      <w:pPr>
        <w:spacing w:after="0" w:line="240" w:lineRule="auto"/>
        <w:ind w:firstLine="720"/>
        <w:jc w:val="both"/>
        <w:rPr>
          <w:sz w:val="24"/>
          <w:szCs w:val="24"/>
        </w:rPr>
      </w:pPr>
      <w:r w:rsidRPr="004B48A7">
        <w:rPr>
          <w:sz w:val="24"/>
          <w:szCs w:val="24"/>
        </w:rPr>
        <w:t>В качестве привода электроустановок малой энергетики могут быть использованы дизельные, бензиновые и газовые двигатели. Проведенный нами анализ показал, что в лесном комплексе наибольшее распространение получили дизельные электростанции [2].</w:t>
      </w:r>
    </w:p>
    <w:p w:rsidR="002B577F" w:rsidRPr="004B48A7" w:rsidRDefault="002B577F" w:rsidP="002B577F">
      <w:pPr>
        <w:spacing w:after="0" w:line="240" w:lineRule="auto"/>
        <w:ind w:firstLine="709"/>
        <w:jc w:val="both"/>
        <w:rPr>
          <w:sz w:val="24"/>
          <w:szCs w:val="24"/>
        </w:rPr>
      </w:pPr>
      <w:r w:rsidRPr="004B48A7">
        <w:rPr>
          <w:sz w:val="24"/>
          <w:szCs w:val="24"/>
        </w:rPr>
        <w:lastRenderedPageBreak/>
        <w:t>Общеизвестно, что нефть на ближайшую перспективу (т.е. на несколько предстоящих десятилетий) по-прежнему останется основным источником моторного топлива. Однако обострение проблемы обеспечения населения органическими энергоносителями привела к необходимости хотя бы частичной замены природных топлив (главным образом, нефтяных) возобновляемыми растительными, то есть биотопливом или его добавками. Выход на рынок биотоплива является серьезной альтернативой дорогостоящим нефтяным ресурсам.</w:t>
      </w:r>
    </w:p>
    <w:p w:rsidR="002B577F" w:rsidRPr="004B48A7" w:rsidRDefault="002B577F" w:rsidP="002B577F">
      <w:pPr>
        <w:spacing w:after="0" w:line="240" w:lineRule="auto"/>
        <w:ind w:firstLine="709"/>
        <w:jc w:val="both"/>
        <w:rPr>
          <w:sz w:val="24"/>
          <w:szCs w:val="24"/>
        </w:rPr>
      </w:pPr>
      <w:r w:rsidRPr="004B48A7">
        <w:rPr>
          <w:sz w:val="24"/>
          <w:szCs w:val="24"/>
        </w:rPr>
        <w:t>Биотоплива по своим физико-химическим свойствам более близки к дизельным топливам, чем к бензиновым, имеют сравнительно высокие плотность и вязкость, низкую испаряемость, что делает возможным их использование в дизельных двигателях, которые применяются не только на транспорте, но и входят в состав многочисленных дизельных электростанций.</w:t>
      </w:r>
    </w:p>
    <w:p w:rsidR="00852F21" w:rsidRPr="004B48A7" w:rsidRDefault="002B577F" w:rsidP="002B577F">
      <w:pPr>
        <w:spacing w:after="0" w:line="240" w:lineRule="auto"/>
        <w:ind w:firstLine="720"/>
        <w:jc w:val="both"/>
        <w:rPr>
          <w:sz w:val="24"/>
          <w:szCs w:val="24"/>
        </w:rPr>
      </w:pPr>
      <w:r w:rsidRPr="004B48A7">
        <w:rPr>
          <w:sz w:val="24"/>
          <w:szCs w:val="24"/>
        </w:rPr>
        <w:t>Значительное внимание в мире ныне уделено биотопливу, полученному из рапса. Рапс занимает прочные позиции в мировом сельском хозяйстве как одна из основных масличных культур.</w:t>
      </w:r>
    </w:p>
    <w:p w:rsidR="002B577F" w:rsidRPr="004B48A7" w:rsidRDefault="002B577F" w:rsidP="002B577F">
      <w:pPr>
        <w:spacing w:after="0" w:line="240" w:lineRule="auto"/>
        <w:ind w:firstLine="720"/>
        <w:jc w:val="both"/>
        <w:rPr>
          <w:sz w:val="24"/>
          <w:szCs w:val="24"/>
        </w:rPr>
      </w:pPr>
      <w:r w:rsidRPr="004B48A7">
        <w:rPr>
          <w:sz w:val="24"/>
          <w:szCs w:val="24"/>
        </w:rPr>
        <w:t xml:space="preserve">В московском государственном университете леса (ныне МФ МГТУ им. Н.Э. Баумана) были проведены эксплуатационные испытания дизельной электростанции (ДЭС) типа SKAT УДГ-4500, работающей на штатном стандартном топливе и биотопливе (т.е. дизельном топливе (ДТ) с добавками рапсового масла (РМ)). Для проведения испытаний был разработан стенд. На это изобретение получен патент [3]. Программа и методика </w:t>
      </w:r>
      <w:r w:rsidR="00EF4890" w:rsidRPr="004B48A7">
        <w:rPr>
          <w:sz w:val="24"/>
          <w:szCs w:val="24"/>
        </w:rPr>
        <w:t>стендовых испытаний ДЭС имела целую получение ряда функциональных зависимостей, в числе которых:</w:t>
      </w:r>
    </w:p>
    <w:p w:rsidR="00EF4890" w:rsidRPr="004B48A7" w:rsidRDefault="00EF4890" w:rsidP="002B577F">
      <w:pPr>
        <w:spacing w:after="0" w:line="240" w:lineRule="auto"/>
        <w:ind w:firstLine="720"/>
        <w:jc w:val="both"/>
        <w:rPr>
          <w:sz w:val="24"/>
          <w:szCs w:val="24"/>
        </w:rPr>
      </w:pPr>
      <w:r w:rsidRPr="004B48A7">
        <w:rPr>
          <w:sz w:val="24"/>
          <w:szCs w:val="24"/>
        </w:rPr>
        <w:t>- зависимость расхода топлива на 1 кВт∙ч генерируемой электроэнергии от процентного соотношения смесевого топлива и от мощности ДЭС (рис. 1);</w:t>
      </w:r>
    </w:p>
    <w:p w:rsidR="00EF4890" w:rsidRPr="004B48A7" w:rsidRDefault="00EF4890" w:rsidP="002B577F">
      <w:pPr>
        <w:spacing w:after="0" w:line="240" w:lineRule="auto"/>
        <w:ind w:firstLine="720"/>
        <w:jc w:val="both"/>
        <w:rPr>
          <w:sz w:val="24"/>
          <w:szCs w:val="24"/>
        </w:rPr>
      </w:pPr>
      <w:r w:rsidRPr="004B48A7">
        <w:rPr>
          <w:sz w:val="24"/>
          <w:szCs w:val="24"/>
        </w:rPr>
        <w:t>- зависимость напряжения от процентного содержания смесевого топлива и выходной мощности;</w:t>
      </w:r>
    </w:p>
    <w:p w:rsidR="00E70D82" w:rsidRPr="004B48A7" w:rsidRDefault="00EF4890" w:rsidP="002B577F">
      <w:pPr>
        <w:spacing w:after="0" w:line="240" w:lineRule="auto"/>
        <w:ind w:firstLine="720"/>
        <w:jc w:val="both"/>
        <w:rPr>
          <w:sz w:val="24"/>
          <w:szCs w:val="24"/>
        </w:rPr>
      </w:pPr>
      <w:r w:rsidRPr="004B48A7">
        <w:rPr>
          <w:sz w:val="24"/>
          <w:szCs w:val="24"/>
        </w:rPr>
        <w:t>- зависимости выброса вредных веществ (СО, СО</w:t>
      </w:r>
      <w:r w:rsidRPr="004B48A7">
        <w:rPr>
          <w:sz w:val="24"/>
          <w:szCs w:val="24"/>
          <w:vertAlign w:val="subscript"/>
        </w:rPr>
        <w:t>2</w:t>
      </w:r>
      <w:r w:rsidRPr="004B48A7">
        <w:rPr>
          <w:sz w:val="24"/>
          <w:szCs w:val="24"/>
        </w:rPr>
        <w:t xml:space="preserve">, СН) в отработавших газах (ОГ), а также дымности ОГ на </w:t>
      </w:r>
      <w:r w:rsidR="00E70D82" w:rsidRPr="004B48A7">
        <w:rPr>
          <w:sz w:val="24"/>
          <w:szCs w:val="24"/>
        </w:rPr>
        <w:t>1 кВт∙ч от процентного соотношения смесевого топлива и мощности ДЭС и др. [4].</w:t>
      </w:r>
    </w:p>
    <w:p w:rsidR="001D21C1" w:rsidRPr="004B48A7" w:rsidRDefault="001D21C1" w:rsidP="002B577F">
      <w:pPr>
        <w:spacing w:after="0" w:line="240" w:lineRule="auto"/>
        <w:ind w:firstLine="720"/>
        <w:jc w:val="both"/>
        <w:rPr>
          <w:sz w:val="24"/>
          <w:szCs w:val="24"/>
        </w:rPr>
      </w:pPr>
    </w:p>
    <w:p w:rsidR="001D21C1" w:rsidRPr="004B48A7" w:rsidRDefault="001D21C1" w:rsidP="00B16117">
      <w:pPr>
        <w:spacing w:after="0" w:line="240" w:lineRule="auto"/>
        <w:ind w:firstLine="720"/>
        <w:jc w:val="center"/>
        <w:rPr>
          <w:sz w:val="24"/>
          <w:szCs w:val="24"/>
        </w:rPr>
      </w:pPr>
      <w:r w:rsidRPr="004B48A7">
        <w:rPr>
          <w:noProof/>
          <w:sz w:val="24"/>
          <w:szCs w:val="24"/>
          <w:lang w:eastAsia="ru-RU"/>
        </w:rPr>
        <w:drawing>
          <wp:inline distT="0" distB="0" distL="0" distR="0">
            <wp:extent cx="4813300" cy="3403600"/>
            <wp:effectExtent l="19050" t="0" r="25400" b="6350"/>
            <wp:docPr id="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61D82" w:rsidRPr="004B48A7" w:rsidRDefault="001D21C1" w:rsidP="00A61D82">
      <w:pPr>
        <w:ind w:firstLine="720"/>
        <w:jc w:val="center"/>
        <w:rPr>
          <w:b/>
          <w:i/>
          <w:szCs w:val="24"/>
        </w:rPr>
      </w:pPr>
      <w:r w:rsidRPr="004B48A7">
        <w:rPr>
          <w:b/>
          <w:i/>
          <w:szCs w:val="24"/>
        </w:rPr>
        <w:t>Рис</w:t>
      </w:r>
      <w:r w:rsidR="003210D2">
        <w:rPr>
          <w:b/>
          <w:i/>
          <w:szCs w:val="24"/>
        </w:rPr>
        <w:t>унок 1 –</w:t>
      </w:r>
      <w:r w:rsidRPr="004B48A7">
        <w:rPr>
          <w:b/>
          <w:i/>
          <w:szCs w:val="24"/>
        </w:rPr>
        <w:t xml:space="preserve"> </w:t>
      </w:r>
      <w:r w:rsidR="00A61D82" w:rsidRPr="004B48A7">
        <w:rPr>
          <w:b/>
          <w:i/>
          <w:szCs w:val="24"/>
        </w:rPr>
        <w:t>График зависимости расхода топлива в литрах от %-ого содержания био</w:t>
      </w:r>
      <w:r w:rsidR="003210D2">
        <w:rPr>
          <w:b/>
          <w:i/>
          <w:szCs w:val="24"/>
        </w:rPr>
        <w:t>добавок при различных нагрузках</w:t>
      </w:r>
    </w:p>
    <w:p w:rsidR="00EF4890" w:rsidRPr="004B48A7" w:rsidRDefault="00E70D82" w:rsidP="002B577F">
      <w:pPr>
        <w:spacing w:after="0" w:line="240" w:lineRule="auto"/>
        <w:ind w:firstLine="720"/>
        <w:jc w:val="both"/>
        <w:rPr>
          <w:sz w:val="24"/>
          <w:szCs w:val="24"/>
        </w:rPr>
      </w:pPr>
      <w:r w:rsidRPr="004B48A7">
        <w:rPr>
          <w:sz w:val="24"/>
          <w:szCs w:val="24"/>
        </w:rPr>
        <w:t xml:space="preserve">Наряду с экспериментальными работами были выполнены теоретические исследования, связанные с разработкой целевой функции оптимизации и математических моделей с целью </w:t>
      </w:r>
      <w:r w:rsidRPr="004B48A7">
        <w:rPr>
          <w:sz w:val="24"/>
          <w:szCs w:val="24"/>
        </w:rPr>
        <w:lastRenderedPageBreak/>
        <w:t xml:space="preserve">определения оптимальных характеристик работы двигателей на топливе с биодобвками. Определены критерии оценки работы таких двигателей с точки зрения экологической безопасности. Математические модели были построены и исследованы на предмет оптимизации с помощью общих методов </w:t>
      </w:r>
      <w:r w:rsidR="00322D40" w:rsidRPr="004B48A7">
        <w:rPr>
          <w:sz w:val="24"/>
          <w:szCs w:val="24"/>
        </w:rPr>
        <w:t>нелинейного математического программирования.</w:t>
      </w:r>
    </w:p>
    <w:p w:rsidR="00322D40" w:rsidRPr="004B48A7" w:rsidRDefault="00322D40" w:rsidP="002B577F">
      <w:pPr>
        <w:spacing w:after="0" w:line="240" w:lineRule="auto"/>
        <w:ind w:firstLine="720"/>
        <w:jc w:val="both"/>
        <w:rPr>
          <w:sz w:val="24"/>
          <w:szCs w:val="24"/>
        </w:rPr>
      </w:pPr>
      <w:r w:rsidRPr="004B48A7">
        <w:rPr>
          <w:sz w:val="24"/>
          <w:szCs w:val="24"/>
        </w:rPr>
        <w:t>Общая задача нелинейного программирования состояла в определении максимального или минимального (в зависимости от требований задачи) значения целевой функции при условии, что переменные этой функции могут удовлетворять некоторым ограничениям или связям.</w:t>
      </w:r>
    </w:p>
    <w:p w:rsidR="00322D40" w:rsidRPr="004B48A7" w:rsidRDefault="00322D40" w:rsidP="002B577F">
      <w:pPr>
        <w:spacing w:after="0" w:line="240" w:lineRule="auto"/>
        <w:ind w:firstLine="720"/>
        <w:jc w:val="both"/>
        <w:rPr>
          <w:sz w:val="24"/>
          <w:szCs w:val="24"/>
        </w:rPr>
      </w:pPr>
      <w:r w:rsidRPr="004B48A7">
        <w:rPr>
          <w:sz w:val="24"/>
          <w:szCs w:val="24"/>
        </w:rPr>
        <w:t>С помощью полученных экспериментальных зависимостей и значений ограничительных параметров по евростандартам (</w:t>
      </w:r>
      <w:r w:rsidRPr="004B48A7">
        <w:rPr>
          <w:sz w:val="24"/>
          <w:szCs w:val="24"/>
          <w:lang w:val="en-US"/>
        </w:rPr>
        <w:t>EURO</w:t>
      </w:r>
      <w:r w:rsidRPr="004B48A7">
        <w:rPr>
          <w:sz w:val="24"/>
          <w:szCs w:val="24"/>
        </w:rPr>
        <w:t xml:space="preserve"> </w:t>
      </w:r>
      <w:r w:rsidRPr="004B48A7">
        <w:rPr>
          <w:sz w:val="24"/>
          <w:szCs w:val="24"/>
          <w:lang w:val="en-US"/>
        </w:rPr>
        <w:t>IV</w:t>
      </w:r>
      <w:r w:rsidRPr="004B48A7">
        <w:rPr>
          <w:sz w:val="24"/>
          <w:szCs w:val="24"/>
        </w:rPr>
        <w:t xml:space="preserve">, </w:t>
      </w:r>
      <w:r w:rsidRPr="004B48A7">
        <w:rPr>
          <w:sz w:val="24"/>
          <w:szCs w:val="24"/>
          <w:lang w:val="en-US"/>
        </w:rPr>
        <w:t>EURO</w:t>
      </w:r>
      <w:r w:rsidRPr="004B48A7">
        <w:rPr>
          <w:sz w:val="24"/>
          <w:szCs w:val="24"/>
        </w:rPr>
        <w:t xml:space="preserve"> </w:t>
      </w:r>
      <w:r w:rsidRPr="004B48A7">
        <w:rPr>
          <w:sz w:val="24"/>
          <w:szCs w:val="24"/>
          <w:lang w:val="en-US"/>
        </w:rPr>
        <w:t>V</w:t>
      </w:r>
      <w:r w:rsidRPr="004B48A7">
        <w:rPr>
          <w:sz w:val="24"/>
          <w:szCs w:val="24"/>
        </w:rPr>
        <w:t xml:space="preserve"> и др.) для каждого используемого значения процентного содержания биодобавки определяется диапазон мощностей</w:t>
      </w:r>
      <w:r w:rsidR="00D670CC" w:rsidRPr="004B48A7">
        <w:rPr>
          <w:sz w:val="24"/>
          <w:szCs w:val="24"/>
        </w:rPr>
        <w:t>, генерируемых ДЭС, в котором возможна работа двигателя, на основе чего формируются ограничения для возможных технологических режимов работы ДЭС [5].</w:t>
      </w:r>
    </w:p>
    <w:p w:rsidR="003C4AFD" w:rsidRPr="004B48A7" w:rsidRDefault="003C4AFD" w:rsidP="004B48A7">
      <w:pPr>
        <w:spacing w:after="0" w:line="360" w:lineRule="auto"/>
        <w:jc w:val="center"/>
        <w:rPr>
          <w:sz w:val="24"/>
          <w:szCs w:val="24"/>
        </w:rPr>
      </w:pPr>
      <w:r w:rsidRPr="004B48A7">
        <w:rPr>
          <w:noProof/>
          <w:sz w:val="24"/>
          <w:szCs w:val="24"/>
          <w:lang w:eastAsia="ru-RU"/>
        </w:rPr>
        <w:drawing>
          <wp:inline distT="0" distB="0" distL="0" distR="0">
            <wp:extent cx="4756150" cy="3333750"/>
            <wp:effectExtent l="19050" t="0" r="2540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3C4AFD" w:rsidRPr="004B48A7" w:rsidRDefault="003C4AFD" w:rsidP="003C4AFD">
      <w:pPr>
        <w:spacing w:after="0" w:line="360" w:lineRule="auto"/>
        <w:ind w:firstLine="709"/>
        <w:jc w:val="center"/>
        <w:rPr>
          <w:b/>
          <w:i/>
          <w:szCs w:val="24"/>
        </w:rPr>
      </w:pPr>
      <w:r w:rsidRPr="004B48A7">
        <w:rPr>
          <w:b/>
          <w:i/>
          <w:szCs w:val="24"/>
        </w:rPr>
        <w:t>Рис</w:t>
      </w:r>
      <w:r w:rsidR="003210D2">
        <w:rPr>
          <w:b/>
          <w:i/>
          <w:szCs w:val="24"/>
        </w:rPr>
        <w:t>унок 2 –</w:t>
      </w:r>
      <w:r w:rsidRPr="004B48A7">
        <w:rPr>
          <w:b/>
          <w:i/>
          <w:szCs w:val="24"/>
        </w:rPr>
        <w:t xml:space="preserve"> Графическое определение оптимальных эксплуатационных показателей ДЭС</w:t>
      </w:r>
      <w:r w:rsidR="003210D2">
        <w:rPr>
          <w:b/>
          <w:i/>
          <w:szCs w:val="24"/>
        </w:rPr>
        <w:t xml:space="preserve"> относительно требуемых условий</w:t>
      </w:r>
    </w:p>
    <w:p w:rsidR="003C4AFD" w:rsidRPr="004B48A7" w:rsidRDefault="003C4AFD" w:rsidP="002B577F">
      <w:pPr>
        <w:spacing w:after="0" w:line="240" w:lineRule="auto"/>
        <w:ind w:firstLine="720"/>
        <w:jc w:val="both"/>
        <w:rPr>
          <w:sz w:val="24"/>
          <w:szCs w:val="24"/>
        </w:rPr>
      </w:pPr>
    </w:p>
    <w:p w:rsidR="00D670CC" w:rsidRPr="004B48A7" w:rsidRDefault="00D670CC" w:rsidP="002B577F">
      <w:pPr>
        <w:spacing w:after="0" w:line="240" w:lineRule="auto"/>
        <w:ind w:firstLine="720"/>
        <w:jc w:val="both"/>
        <w:rPr>
          <w:sz w:val="24"/>
          <w:szCs w:val="24"/>
        </w:rPr>
      </w:pPr>
      <w:r w:rsidRPr="004B48A7">
        <w:rPr>
          <w:sz w:val="24"/>
          <w:szCs w:val="24"/>
        </w:rPr>
        <w:t xml:space="preserve">На рис. 2 изображен трехмерный график, с помощью которого можно определить оптимальные эксплуатационные показатели ДЭС, а именно, расход смесевого топлива при различном процентном содержании РМ в нем и варьировании генерируемой мощности, а также </w:t>
      </w:r>
      <w:r w:rsidR="00B45CD6" w:rsidRPr="004B48A7">
        <w:rPr>
          <w:sz w:val="24"/>
          <w:szCs w:val="24"/>
        </w:rPr>
        <w:t>подобрать смесевое топливо с выполнением оптимальных условий эксплуатации.</w:t>
      </w:r>
    </w:p>
    <w:p w:rsidR="00B45CD6" w:rsidRDefault="00B45CD6" w:rsidP="002B577F">
      <w:pPr>
        <w:spacing w:after="0" w:line="240" w:lineRule="auto"/>
        <w:ind w:firstLine="720"/>
        <w:jc w:val="both"/>
        <w:rPr>
          <w:sz w:val="24"/>
          <w:szCs w:val="24"/>
        </w:rPr>
      </w:pPr>
      <w:r w:rsidRPr="004B48A7">
        <w:rPr>
          <w:sz w:val="24"/>
          <w:szCs w:val="24"/>
        </w:rPr>
        <w:t>Таким образом, полученные в ходе исследований зависимости эксплуатационных показателей дизельных электростанций позволяют выбрать рациональные режимы работы, включающие оптимизацию расходов и затрат на топлив</w:t>
      </w:r>
      <w:r w:rsidR="001D21C1" w:rsidRPr="004B48A7">
        <w:rPr>
          <w:sz w:val="24"/>
          <w:szCs w:val="24"/>
        </w:rPr>
        <w:t>о</w:t>
      </w:r>
      <w:r w:rsidRPr="004B48A7">
        <w:rPr>
          <w:sz w:val="24"/>
          <w:szCs w:val="24"/>
        </w:rPr>
        <w:t xml:space="preserve">, а также минимизацию количества вредных веществ в отработавших газах. На основании данной информации определяются диапазоны экологически безопасных режимов работы ДЭС в зависимости от процентного содержания </w:t>
      </w:r>
      <w:r w:rsidR="00A13F1F" w:rsidRPr="004B48A7">
        <w:rPr>
          <w:sz w:val="24"/>
          <w:szCs w:val="24"/>
        </w:rPr>
        <w:t>биодобавок с учетом ограничений по мощностным, экономическим и экологическим показателям.</w:t>
      </w:r>
      <w:r w:rsidRPr="004B48A7">
        <w:rPr>
          <w:sz w:val="24"/>
          <w:szCs w:val="24"/>
        </w:rPr>
        <w:t xml:space="preserve"> </w:t>
      </w:r>
    </w:p>
    <w:p w:rsidR="00032102" w:rsidRPr="004B48A7" w:rsidRDefault="00032102" w:rsidP="002B577F">
      <w:pPr>
        <w:spacing w:after="0" w:line="240" w:lineRule="auto"/>
        <w:ind w:firstLine="720"/>
        <w:jc w:val="both"/>
        <w:rPr>
          <w:sz w:val="24"/>
          <w:szCs w:val="24"/>
        </w:rPr>
      </w:pPr>
    </w:p>
    <w:p w:rsidR="00A13F1F" w:rsidRPr="00B522BB" w:rsidRDefault="00A13F1F" w:rsidP="00C1630F">
      <w:pPr>
        <w:spacing w:after="0" w:line="240" w:lineRule="auto"/>
        <w:jc w:val="center"/>
      </w:pPr>
      <w:r w:rsidRPr="00B522BB">
        <w:t>Список литературы</w:t>
      </w:r>
    </w:p>
    <w:p w:rsidR="00A13F1F" w:rsidRPr="00B522BB" w:rsidRDefault="00A13F1F" w:rsidP="00B522BB">
      <w:pPr>
        <w:pStyle w:val="Iauiue"/>
        <w:numPr>
          <w:ilvl w:val="0"/>
          <w:numId w:val="1"/>
        </w:numPr>
        <w:tabs>
          <w:tab w:val="left" w:pos="360"/>
          <w:tab w:val="left" w:pos="851"/>
          <w:tab w:val="left" w:pos="1134"/>
        </w:tabs>
        <w:overflowPunct/>
        <w:autoSpaceDE/>
        <w:autoSpaceDN/>
        <w:adjustRightInd/>
        <w:ind w:left="0" w:firstLine="709"/>
        <w:jc w:val="both"/>
        <w:textAlignment w:val="auto"/>
        <w:rPr>
          <w:sz w:val="22"/>
          <w:szCs w:val="22"/>
        </w:rPr>
      </w:pPr>
      <w:r w:rsidRPr="00B522BB">
        <w:rPr>
          <w:sz w:val="22"/>
          <w:szCs w:val="22"/>
        </w:rPr>
        <w:t>Латухина</w:t>
      </w:r>
      <w:r w:rsidR="00E131B4" w:rsidRPr="00B522BB">
        <w:rPr>
          <w:sz w:val="22"/>
          <w:szCs w:val="22"/>
        </w:rPr>
        <w:t>,</w:t>
      </w:r>
      <w:r w:rsidRPr="00B522BB">
        <w:rPr>
          <w:sz w:val="22"/>
          <w:szCs w:val="22"/>
        </w:rPr>
        <w:t xml:space="preserve"> К. Энергия для мира </w:t>
      </w:r>
      <w:r w:rsidR="003210D2" w:rsidRPr="00B522BB">
        <w:rPr>
          <w:sz w:val="22"/>
          <w:szCs w:val="22"/>
        </w:rPr>
        <w:t xml:space="preserve">[Текст] </w:t>
      </w:r>
      <w:r w:rsidRPr="00B522BB">
        <w:rPr>
          <w:sz w:val="22"/>
          <w:szCs w:val="22"/>
        </w:rPr>
        <w:t xml:space="preserve">/ </w:t>
      </w:r>
      <w:r w:rsidR="00AE0F8D" w:rsidRPr="00B522BB">
        <w:rPr>
          <w:sz w:val="22"/>
          <w:szCs w:val="22"/>
        </w:rPr>
        <w:t xml:space="preserve">К. Латухина  //  </w:t>
      </w:r>
      <w:r w:rsidR="00C76501" w:rsidRPr="00B522BB">
        <w:rPr>
          <w:sz w:val="22"/>
          <w:szCs w:val="22"/>
        </w:rPr>
        <w:t>Российская газета</w:t>
      </w:r>
      <w:r w:rsidRPr="00B522BB">
        <w:rPr>
          <w:sz w:val="22"/>
          <w:szCs w:val="22"/>
        </w:rPr>
        <w:t>, 30 марта 2018 года, №67 (7530)</w:t>
      </w:r>
      <w:r w:rsidR="00AE0F8D" w:rsidRPr="00B522BB">
        <w:rPr>
          <w:sz w:val="22"/>
          <w:szCs w:val="22"/>
        </w:rPr>
        <w:t>. – С.-2.</w:t>
      </w:r>
    </w:p>
    <w:p w:rsidR="00A13F1F" w:rsidRPr="00B522BB" w:rsidRDefault="00E131B4" w:rsidP="00B522BB">
      <w:pPr>
        <w:pStyle w:val="Iauiue"/>
        <w:numPr>
          <w:ilvl w:val="0"/>
          <w:numId w:val="1"/>
        </w:numPr>
        <w:tabs>
          <w:tab w:val="left" w:pos="360"/>
          <w:tab w:val="left" w:pos="851"/>
          <w:tab w:val="left" w:pos="1134"/>
        </w:tabs>
        <w:overflowPunct/>
        <w:autoSpaceDE/>
        <w:autoSpaceDN/>
        <w:adjustRightInd/>
        <w:ind w:left="0" w:firstLine="709"/>
        <w:jc w:val="both"/>
        <w:textAlignment w:val="auto"/>
        <w:rPr>
          <w:sz w:val="22"/>
          <w:szCs w:val="22"/>
        </w:rPr>
      </w:pPr>
      <w:r w:rsidRPr="00B522BB">
        <w:rPr>
          <w:sz w:val="22"/>
          <w:szCs w:val="22"/>
        </w:rPr>
        <w:lastRenderedPageBreak/>
        <w:t>Тарлаков, Я.В.</w:t>
      </w:r>
      <w:r w:rsidR="00A13F1F" w:rsidRPr="00B522BB">
        <w:rPr>
          <w:sz w:val="22"/>
          <w:szCs w:val="22"/>
        </w:rPr>
        <w:t xml:space="preserve"> Эксплуатационные показатели дизельных электростанций лесного комплекса при работе на биотопливе</w:t>
      </w:r>
      <w:r w:rsidRPr="00B522BB">
        <w:rPr>
          <w:sz w:val="22"/>
          <w:szCs w:val="22"/>
        </w:rPr>
        <w:t xml:space="preserve"> </w:t>
      </w:r>
      <w:r w:rsidR="003210D2" w:rsidRPr="00B522BB">
        <w:rPr>
          <w:sz w:val="22"/>
          <w:szCs w:val="22"/>
        </w:rPr>
        <w:t>[Т</w:t>
      </w:r>
      <w:r w:rsidRPr="00B522BB">
        <w:rPr>
          <w:sz w:val="22"/>
          <w:szCs w:val="22"/>
        </w:rPr>
        <w:t>екст]</w:t>
      </w:r>
      <w:r w:rsidR="00A13F1F" w:rsidRPr="00B522BB">
        <w:rPr>
          <w:sz w:val="22"/>
          <w:szCs w:val="22"/>
        </w:rPr>
        <w:t>: дисс. … канд. / Я.В. Тарлаков</w:t>
      </w:r>
      <w:r w:rsidR="00D57DF2" w:rsidRPr="00B522BB">
        <w:rPr>
          <w:sz w:val="22"/>
          <w:szCs w:val="22"/>
        </w:rPr>
        <w:t>. – М.: МГУЛ, 2013</w:t>
      </w:r>
      <w:r w:rsidR="00A13F1F" w:rsidRPr="00B522BB">
        <w:rPr>
          <w:sz w:val="22"/>
          <w:szCs w:val="22"/>
        </w:rPr>
        <w:t>.</w:t>
      </w:r>
      <w:r w:rsidRPr="00B522BB">
        <w:rPr>
          <w:sz w:val="22"/>
          <w:szCs w:val="22"/>
        </w:rPr>
        <w:t xml:space="preserve"> – </w:t>
      </w:r>
      <w:r w:rsidR="00AE0F8D" w:rsidRPr="00B522BB">
        <w:rPr>
          <w:sz w:val="22"/>
          <w:szCs w:val="22"/>
        </w:rPr>
        <w:t>С.</w:t>
      </w:r>
      <w:r w:rsidR="009117D4" w:rsidRPr="00B522BB">
        <w:rPr>
          <w:sz w:val="22"/>
          <w:szCs w:val="22"/>
        </w:rPr>
        <w:t>16-28</w:t>
      </w:r>
      <w:r w:rsidRPr="00B522BB">
        <w:rPr>
          <w:sz w:val="22"/>
          <w:szCs w:val="22"/>
        </w:rPr>
        <w:t>.</w:t>
      </w:r>
    </w:p>
    <w:p w:rsidR="00D57DF2" w:rsidRPr="00B522BB" w:rsidRDefault="00D57DF2" w:rsidP="00B522BB">
      <w:pPr>
        <w:pStyle w:val="Iauiue"/>
        <w:numPr>
          <w:ilvl w:val="0"/>
          <w:numId w:val="1"/>
        </w:numPr>
        <w:tabs>
          <w:tab w:val="left" w:pos="360"/>
          <w:tab w:val="left" w:pos="851"/>
          <w:tab w:val="left" w:pos="1134"/>
        </w:tabs>
        <w:overflowPunct/>
        <w:autoSpaceDE/>
        <w:autoSpaceDN/>
        <w:adjustRightInd/>
        <w:ind w:left="0" w:firstLine="709"/>
        <w:jc w:val="both"/>
        <w:textAlignment w:val="auto"/>
        <w:rPr>
          <w:sz w:val="22"/>
          <w:szCs w:val="22"/>
        </w:rPr>
      </w:pPr>
      <w:r w:rsidRPr="00B522BB">
        <w:rPr>
          <w:sz w:val="22"/>
          <w:szCs w:val="22"/>
        </w:rPr>
        <w:t>Патент на полезную модель 106918 Российская Федерация, МПК F 02 B 63/04. Устройство для измерения технических характеристик передвижных электростанций с приводом от двигателя внутреннего сгорания / Сиротов А.В., Тарлаков Я.В, Панферов В.И.; заявитель и патентообладатель Моск. гос. унив. леса. – №2011112065/06; заявл. 31.03.11 ; опубл. 27.07.11 , Бюл. № 21    (П ч.). – 2 с. : ил</w:t>
      </w:r>
      <w:r w:rsidR="00A13F1F" w:rsidRPr="00B522BB">
        <w:rPr>
          <w:sz w:val="22"/>
          <w:szCs w:val="22"/>
        </w:rPr>
        <w:t>.</w:t>
      </w:r>
    </w:p>
    <w:p w:rsidR="00A13F1F" w:rsidRPr="00B522BB" w:rsidRDefault="00D57DF2" w:rsidP="00B522BB">
      <w:pPr>
        <w:pStyle w:val="Iauiue"/>
        <w:numPr>
          <w:ilvl w:val="0"/>
          <w:numId w:val="1"/>
        </w:numPr>
        <w:tabs>
          <w:tab w:val="left" w:pos="360"/>
          <w:tab w:val="left" w:pos="851"/>
          <w:tab w:val="left" w:pos="1134"/>
        </w:tabs>
        <w:overflowPunct/>
        <w:autoSpaceDE/>
        <w:autoSpaceDN/>
        <w:adjustRightInd/>
        <w:ind w:left="0" w:firstLine="709"/>
        <w:jc w:val="both"/>
        <w:textAlignment w:val="auto"/>
        <w:rPr>
          <w:sz w:val="22"/>
          <w:szCs w:val="22"/>
        </w:rPr>
      </w:pPr>
      <w:r w:rsidRPr="00B522BB">
        <w:rPr>
          <w:sz w:val="22"/>
          <w:szCs w:val="22"/>
        </w:rPr>
        <w:t>Кольниченко</w:t>
      </w:r>
      <w:r w:rsidR="00E131B4" w:rsidRPr="00B522BB">
        <w:rPr>
          <w:sz w:val="22"/>
          <w:szCs w:val="22"/>
        </w:rPr>
        <w:t>,</w:t>
      </w:r>
      <w:r w:rsidRPr="00B522BB">
        <w:rPr>
          <w:sz w:val="22"/>
          <w:szCs w:val="22"/>
        </w:rPr>
        <w:t xml:space="preserve"> Г.И. Исследование и обоснование эксплуатационных характеристик дизель-генератора, работающего на дизельном топливе с биодобавками </w:t>
      </w:r>
      <w:r w:rsidR="003210D2" w:rsidRPr="00B522BB">
        <w:rPr>
          <w:sz w:val="22"/>
          <w:szCs w:val="22"/>
        </w:rPr>
        <w:t>[Т</w:t>
      </w:r>
      <w:r w:rsidR="00CF3113" w:rsidRPr="00B522BB">
        <w:rPr>
          <w:sz w:val="22"/>
          <w:szCs w:val="22"/>
        </w:rPr>
        <w:t xml:space="preserve">екст] </w:t>
      </w:r>
      <w:r w:rsidRPr="00B522BB">
        <w:rPr>
          <w:sz w:val="22"/>
          <w:szCs w:val="22"/>
        </w:rPr>
        <w:t xml:space="preserve">/ Г.И. Кольниченко, А.В. Сиротов, Я.В. Тарлаков // Сборник трудов III Международной конференции АПЭЭТ-2014. </w:t>
      </w:r>
      <w:r w:rsidR="00E131B4" w:rsidRPr="00B522BB">
        <w:rPr>
          <w:sz w:val="22"/>
          <w:szCs w:val="22"/>
        </w:rPr>
        <w:t xml:space="preserve">– </w:t>
      </w:r>
      <w:r w:rsidRPr="00B522BB">
        <w:rPr>
          <w:sz w:val="22"/>
          <w:szCs w:val="22"/>
        </w:rPr>
        <w:t>Екатерин</w:t>
      </w:r>
      <w:r w:rsidR="00CF3113" w:rsidRPr="00B522BB">
        <w:rPr>
          <w:sz w:val="22"/>
          <w:szCs w:val="22"/>
        </w:rPr>
        <w:t>бург: ФГАОУ ВПО УРФУ</w:t>
      </w:r>
      <w:r w:rsidR="00E131B4" w:rsidRPr="00B522BB">
        <w:rPr>
          <w:sz w:val="22"/>
          <w:szCs w:val="22"/>
        </w:rPr>
        <w:t xml:space="preserve">, </w:t>
      </w:r>
      <w:r w:rsidR="00CF3113" w:rsidRPr="00B522BB">
        <w:rPr>
          <w:sz w:val="22"/>
          <w:szCs w:val="22"/>
        </w:rPr>
        <w:t xml:space="preserve"> 2014. </w:t>
      </w:r>
      <w:r w:rsidR="00AE0F8D" w:rsidRPr="00B522BB">
        <w:rPr>
          <w:sz w:val="22"/>
          <w:szCs w:val="22"/>
        </w:rPr>
        <w:t>С.</w:t>
      </w:r>
      <w:r w:rsidRPr="00B522BB">
        <w:rPr>
          <w:sz w:val="22"/>
          <w:szCs w:val="22"/>
        </w:rPr>
        <w:t>230-232.</w:t>
      </w:r>
    </w:p>
    <w:p w:rsidR="00A13F1F" w:rsidRPr="00B522BB" w:rsidRDefault="00CF3113" w:rsidP="00B522BB">
      <w:pPr>
        <w:pStyle w:val="Iauiue"/>
        <w:numPr>
          <w:ilvl w:val="0"/>
          <w:numId w:val="1"/>
        </w:numPr>
        <w:tabs>
          <w:tab w:val="left" w:pos="360"/>
          <w:tab w:val="left" w:pos="851"/>
          <w:tab w:val="left" w:pos="1134"/>
        </w:tabs>
        <w:overflowPunct/>
        <w:autoSpaceDE/>
        <w:autoSpaceDN/>
        <w:adjustRightInd/>
        <w:ind w:left="0" w:firstLine="709"/>
        <w:jc w:val="both"/>
        <w:textAlignment w:val="auto"/>
        <w:rPr>
          <w:sz w:val="22"/>
          <w:szCs w:val="22"/>
        </w:rPr>
      </w:pPr>
      <w:r w:rsidRPr="00B522BB">
        <w:rPr>
          <w:sz w:val="22"/>
          <w:szCs w:val="22"/>
        </w:rPr>
        <w:t>Кольниченко</w:t>
      </w:r>
      <w:r w:rsidR="00E131B4" w:rsidRPr="00B522BB">
        <w:rPr>
          <w:sz w:val="22"/>
          <w:szCs w:val="22"/>
        </w:rPr>
        <w:t>,</w:t>
      </w:r>
      <w:r w:rsidRPr="00B522BB">
        <w:rPr>
          <w:sz w:val="22"/>
          <w:szCs w:val="22"/>
        </w:rPr>
        <w:t xml:space="preserve"> Г.И. Биоэнерготехнологии и лесопромышленный комплекс</w:t>
      </w:r>
      <w:r w:rsidR="00D57DF2" w:rsidRPr="00B522BB">
        <w:rPr>
          <w:sz w:val="22"/>
          <w:szCs w:val="22"/>
        </w:rPr>
        <w:t xml:space="preserve"> </w:t>
      </w:r>
      <w:r w:rsidR="003210D2" w:rsidRPr="00B522BB">
        <w:rPr>
          <w:sz w:val="22"/>
          <w:szCs w:val="22"/>
        </w:rPr>
        <w:t>[Т</w:t>
      </w:r>
      <w:r w:rsidRPr="00B522BB">
        <w:rPr>
          <w:sz w:val="22"/>
          <w:szCs w:val="22"/>
        </w:rPr>
        <w:t xml:space="preserve">екст] </w:t>
      </w:r>
      <w:r w:rsidR="00D57DF2" w:rsidRPr="00B522BB">
        <w:rPr>
          <w:sz w:val="22"/>
          <w:szCs w:val="22"/>
        </w:rPr>
        <w:t xml:space="preserve">/ Г.И. Кольниченко, Я.В. Тарлаков, А.В. Сиротов // </w:t>
      </w:r>
      <w:r w:rsidR="00E131B4" w:rsidRPr="00B522BB">
        <w:rPr>
          <w:sz w:val="22"/>
          <w:szCs w:val="22"/>
        </w:rPr>
        <w:t>Лесной вестник / Forestry Bulletin, 2017. Т. 21. № 5. С. 64–68. DOI: 10.18698/2542-1468-2017-5-64-68</w:t>
      </w:r>
    </w:p>
    <w:p w:rsidR="00A13F1F" w:rsidRPr="00B522BB" w:rsidRDefault="00A13F1F" w:rsidP="00D57DF2">
      <w:pPr>
        <w:pStyle w:val="Iauiue"/>
        <w:tabs>
          <w:tab w:val="left" w:pos="360"/>
        </w:tabs>
        <w:overflowPunct/>
        <w:autoSpaceDE/>
        <w:autoSpaceDN/>
        <w:adjustRightInd/>
        <w:ind w:left="709"/>
        <w:jc w:val="both"/>
        <w:textAlignment w:val="auto"/>
        <w:rPr>
          <w:sz w:val="22"/>
          <w:szCs w:val="22"/>
          <w:highlight w:val="yellow"/>
        </w:rPr>
      </w:pPr>
    </w:p>
    <w:p w:rsidR="00A13F1F" w:rsidRPr="00B522BB" w:rsidRDefault="00D57DF2" w:rsidP="00C76501">
      <w:pPr>
        <w:spacing w:after="0" w:line="240" w:lineRule="auto"/>
        <w:jc w:val="both"/>
      </w:pPr>
      <w:r w:rsidRPr="00B522BB">
        <w:rPr>
          <w:b/>
        </w:rPr>
        <w:t>Кольниченко Георгий Иванович</w:t>
      </w:r>
      <w:r w:rsidR="00C76501" w:rsidRPr="00B522BB">
        <w:rPr>
          <w:b/>
        </w:rPr>
        <w:t xml:space="preserve"> </w:t>
      </w:r>
      <w:r w:rsidR="00A13F1F" w:rsidRPr="00B522BB">
        <w:t xml:space="preserve">– д-р техн. наук, </w:t>
      </w:r>
      <w:r w:rsidR="00C76501" w:rsidRPr="00B522BB">
        <w:t>Мытищинский филиал МГТУ им. Н.Э. Баумана</w:t>
      </w:r>
      <w:r w:rsidR="00A13F1F" w:rsidRPr="00B522BB">
        <w:t xml:space="preserve">, ведущий </w:t>
      </w:r>
      <w:r w:rsidR="00C76501" w:rsidRPr="00B522BB">
        <w:t>инженер</w:t>
      </w:r>
      <w:r w:rsidR="00A13F1F" w:rsidRPr="00B522BB">
        <w:t xml:space="preserve">. </w:t>
      </w:r>
      <w:r w:rsidR="00C76501" w:rsidRPr="00B522BB">
        <w:t>g_</w:t>
      </w:r>
      <w:r w:rsidR="00C76501" w:rsidRPr="00B522BB">
        <w:rPr>
          <w:lang w:val="en-US"/>
        </w:rPr>
        <w:t>kolnic</w:t>
      </w:r>
      <w:r w:rsidR="00C76501" w:rsidRPr="00B522BB">
        <w:t>@</w:t>
      </w:r>
      <w:r w:rsidR="00C76501" w:rsidRPr="00B522BB">
        <w:rPr>
          <w:lang w:val="en-US"/>
        </w:rPr>
        <w:t>mail</w:t>
      </w:r>
      <w:r w:rsidR="00C76501" w:rsidRPr="00B522BB">
        <w:t>.</w:t>
      </w:r>
      <w:r w:rsidR="00C76501" w:rsidRPr="00B522BB">
        <w:rPr>
          <w:lang w:val="en-US"/>
        </w:rPr>
        <w:t>ru</w:t>
      </w:r>
      <w:r w:rsidR="00C76501" w:rsidRPr="00B522BB">
        <w:t>, 8(498)687-3880.</w:t>
      </w:r>
    </w:p>
    <w:p w:rsidR="00A13F1F" w:rsidRPr="00B522BB" w:rsidRDefault="00C76501" w:rsidP="00C76501">
      <w:pPr>
        <w:spacing w:after="0" w:line="240" w:lineRule="auto"/>
        <w:jc w:val="both"/>
      </w:pPr>
      <w:r w:rsidRPr="00B522BB">
        <w:rPr>
          <w:b/>
        </w:rPr>
        <w:t>Тарлаков Яков Викторович</w:t>
      </w:r>
      <w:r w:rsidR="00A13F1F" w:rsidRPr="00B522BB">
        <w:t xml:space="preserve"> – </w:t>
      </w:r>
      <w:r w:rsidR="00D864E2">
        <w:t>канд. техн. н</w:t>
      </w:r>
      <w:bookmarkStart w:id="0" w:name="_GoBack"/>
      <w:bookmarkEnd w:id="0"/>
      <w:r w:rsidRPr="00B522BB">
        <w:t xml:space="preserve">аук, Мытищинский филиал МГТУ им. Н.Э. Баумана, доцент кафедры Э-6. </w:t>
      </w:r>
      <w:hyperlink r:id="rId10" w:history="1">
        <w:r w:rsidRPr="00B522BB">
          <w:rPr>
            <w:rStyle w:val="a3"/>
            <w:color w:val="auto"/>
            <w:u w:val="none"/>
          </w:rPr>
          <w:t>tarlakov@mgul.ac.ru</w:t>
        </w:r>
      </w:hyperlink>
      <w:r w:rsidRPr="00B522BB">
        <w:t>, 8(498)687-3880</w:t>
      </w:r>
      <w:r w:rsidR="00A13F1F" w:rsidRPr="00B522BB">
        <w:t>.</w:t>
      </w:r>
    </w:p>
    <w:p w:rsidR="00A13F1F" w:rsidRPr="00B522BB" w:rsidRDefault="00C76501" w:rsidP="00C76501">
      <w:pPr>
        <w:spacing w:after="0" w:line="240" w:lineRule="auto"/>
        <w:rPr>
          <w:lang w:val="en-US"/>
        </w:rPr>
      </w:pPr>
      <w:r w:rsidRPr="00B522BB">
        <w:rPr>
          <w:b/>
        </w:rPr>
        <w:t>Сиротов Александ Владиславович</w:t>
      </w:r>
      <w:r w:rsidR="00A13F1F" w:rsidRPr="00B522BB">
        <w:t xml:space="preserve"> – </w:t>
      </w:r>
      <w:r w:rsidRPr="00B522BB">
        <w:t>д-р техн. наук, Мытищинский филиал МГТУ им. Н</w:t>
      </w:r>
      <w:r w:rsidRPr="00B522BB">
        <w:rPr>
          <w:lang w:val="en-US"/>
        </w:rPr>
        <w:t>.</w:t>
      </w:r>
      <w:r w:rsidRPr="00B522BB">
        <w:t>Э</w:t>
      </w:r>
      <w:r w:rsidRPr="00B522BB">
        <w:rPr>
          <w:lang w:val="en-US"/>
        </w:rPr>
        <w:t xml:space="preserve">. </w:t>
      </w:r>
      <w:r w:rsidRPr="00B522BB">
        <w:t>Баумана</w:t>
      </w:r>
      <w:r w:rsidRPr="00B522BB">
        <w:rPr>
          <w:lang w:val="en-US"/>
        </w:rPr>
        <w:t xml:space="preserve">, </w:t>
      </w:r>
      <w:r w:rsidRPr="00B522BB">
        <w:t>профессор</w:t>
      </w:r>
      <w:r w:rsidRPr="00B522BB">
        <w:rPr>
          <w:lang w:val="en-US"/>
        </w:rPr>
        <w:t xml:space="preserve"> </w:t>
      </w:r>
      <w:r w:rsidRPr="00B522BB">
        <w:t>кафедры</w:t>
      </w:r>
      <w:r w:rsidRPr="00B522BB">
        <w:rPr>
          <w:lang w:val="en-US"/>
        </w:rPr>
        <w:t xml:space="preserve"> </w:t>
      </w:r>
      <w:r w:rsidRPr="00B522BB">
        <w:t>Э</w:t>
      </w:r>
      <w:r w:rsidRPr="00B522BB">
        <w:rPr>
          <w:lang w:val="en-US"/>
        </w:rPr>
        <w:t>-6. sirotov1953@gmail.com, 8(498)687-3880.</w:t>
      </w:r>
    </w:p>
    <w:p w:rsidR="00A13F1F" w:rsidRPr="004B48A7" w:rsidRDefault="00A13F1F" w:rsidP="002B577F">
      <w:pPr>
        <w:spacing w:after="0" w:line="240" w:lineRule="auto"/>
        <w:ind w:firstLine="720"/>
        <w:jc w:val="both"/>
        <w:rPr>
          <w:sz w:val="24"/>
          <w:szCs w:val="24"/>
          <w:lang w:val="en-US"/>
        </w:rPr>
      </w:pPr>
    </w:p>
    <w:p w:rsidR="00C76501" w:rsidRPr="004B48A7" w:rsidRDefault="00C76501" w:rsidP="00B522BB">
      <w:pPr>
        <w:spacing w:after="0" w:line="240" w:lineRule="auto"/>
        <w:rPr>
          <w:sz w:val="24"/>
          <w:szCs w:val="24"/>
          <w:lang w:val="en-US"/>
        </w:rPr>
      </w:pPr>
      <w:r w:rsidRPr="004B48A7">
        <w:rPr>
          <w:sz w:val="24"/>
          <w:szCs w:val="24"/>
          <w:lang w:val="en-US"/>
        </w:rPr>
        <w:t>__________________________________________________________________________________</w:t>
      </w:r>
    </w:p>
    <w:p w:rsidR="00C76501" w:rsidRPr="00AE42E1" w:rsidRDefault="00D13291" w:rsidP="00B522BB">
      <w:pPr>
        <w:spacing w:after="0" w:line="240" w:lineRule="auto"/>
        <w:jc w:val="center"/>
        <w:rPr>
          <w:b/>
          <w:sz w:val="24"/>
          <w:szCs w:val="24"/>
          <w:lang w:val="en-US"/>
        </w:rPr>
      </w:pPr>
      <w:r w:rsidRPr="004F67A1">
        <w:rPr>
          <w:b/>
          <w:sz w:val="24"/>
          <w:szCs w:val="24"/>
          <w:lang w:val="en-US"/>
        </w:rPr>
        <w:t>CHARACTERISTICS ANALYSIS OF DIESEL POWER PLANTS OPERATING ON DIESEL FUEL WITH BIOADDITIVES</w:t>
      </w:r>
    </w:p>
    <w:p w:rsidR="002B5F51" w:rsidRPr="00AE42E1" w:rsidRDefault="002B5F51" w:rsidP="00B522BB">
      <w:pPr>
        <w:spacing w:after="0" w:line="240" w:lineRule="auto"/>
        <w:jc w:val="center"/>
        <w:rPr>
          <w:b/>
          <w:sz w:val="24"/>
          <w:szCs w:val="24"/>
          <w:lang w:val="en-US"/>
        </w:rPr>
      </w:pPr>
    </w:p>
    <w:p w:rsidR="00C76501" w:rsidRPr="00B522BB" w:rsidRDefault="003C4AFD" w:rsidP="00D13291">
      <w:pPr>
        <w:spacing w:after="0" w:line="240" w:lineRule="auto"/>
        <w:jc w:val="right"/>
        <w:rPr>
          <w:b/>
          <w:sz w:val="24"/>
          <w:szCs w:val="24"/>
          <w:lang w:val="en-US"/>
        </w:rPr>
      </w:pPr>
      <w:r w:rsidRPr="004B48A7">
        <w:rPr>
          <w:b/>
          <w:sz w:val="24"/>
          <w:szCs w:val="24"/>
          <w:lang w:val="en-US"/>
        </w:rPr>
        <w:t>Kolnichenko G. I.</w:t>
      </w:r>
      <w:r w:rsidR="00C76501" w:rsidRPr="004B48A7">
        <w:rPr>
          <w:b/>
          <w:sz w:val="24"/>
          <w:szCs w:val="24"/>
          <w:lang w:val="en-US"/>
        </w:rPr>
        <w:t xml:space="preserve">, </w:t>
      </w:r>
      <w:r w:rsidRPr="004B48A7">
        <w:rPr>
          <w:b/>
          <w:sz w:val="24"/>
          <w:szCs w:val="24"/>
          <w:lang w:val="en-US"/>
        </w:rPr>
        <w:t>Tarlakov Ya. V.</w:t>
      </w:r>
      <w:r w:rsidR="00C76501" w:rsidRPr="004B48A7">
        <w:rPr>
          <w:b/>
          <w:sz w:val="24"/>
          <w:szCs w:val="24"/>
          <w:lang w:val="en-US"/>
        </w:rPr>
        <w:t xml:space="preserve">, </w:t>
      </w:r>
      <w:r w:rsidRPr="004B48A7">
        <w:rPr>
          <w:b/>
          <w:sz w:val="24"/>
          <w:szCs w:val="24"/>
          <w:lang w:val="en-US"/>
        </w:rPr>
        <w:t xml:space="preserve">Sirotov </w:t>
      </w:r>
      <w:r w:rsidR="00C76501" w:rsidRPr="004B48A7">
        <w:rPr>
          <w:b/>
          <w:sz w:val="24"/>
          <w:szCs w:val="24"/>
          <w:lang w:val="en-US"/>
        </w:rPr>
        <w:t>A.V.</w:t>
      </w:r>
    </w:p>
    <w:p w:rsidR="00D16C24" w:rsidRPr="00F52763" w:rsidRDefault="00894843" w:rsidP="00D13291">
      <w:pPr>
        <w:spacing w:after="0" w:line="240" w:lineRule="auto"/>
        <w:jc w:val="right"/>
        <w:rPr>
          <w:i/>
          <w:sz w:val="24"/>
          <w:szCs w:val="24"/>
          <w:lang w:val="en-US"/>
        </w:rPr>
      </w:pPr>
      <w:r>
        <w:rPr>
          <w:i/>
          <w:sz w:val="24"/>
          <w:szCs w:val="24"/>
          <w:lang w:val="en-US"/>
        </w:rPr>
        <w:t>Mytishchi branch of B</w:t>
      </w:r>
      <w:r w:rsidR="00D35962" w:rsidRPr="00D35962">
        <w:rPr>
          <w:i/>
          <w:sz w:val="24"/>
          <w:szCs w:val="24"/>
          <w:lang w:val="en-US"/>
        </w:rPr>
        <w:t>MSTU</w:t>
      </w:r>
    </w:p>
    <w:p w:rsidR="00D35962" w:rsidRPr="00F52763" w:rsidRDefault="00D35962" w:rsidP="00D13291">
      <w:pPr>
        <w:spacing w:after="0" w:line="240" w:lineRule="auto"/>
        <w:jc w:val="right"/>
        <w:rPr>
          <w:b/>
          <w:sz w:val="24"/>
          <w:szCs w:val="24"/>
          <w:lang w:val="en-US"/>
        </w:rPr>
      </w:pPr>
    </w:p>
    <w:p w:rsidR="00C76501" w:rsidRPr="00B522BB" w:rsidRDefault="003C4AFD" w:rsidP="00D13291">
      <w:pPr>
        <w:spacing w:after="0" w:line="240" w:lineRule="auto"/>
        <w:jc w:val="right"/>
        <w:rPr>
          <w:i/>
          <w:sz w:val="20"/>
          <w:szCs w:val="20"/>
          <w:lang w:val="en-US"/>
        </w:rPr>
      </w:pPr>
      <w:r w:rsidRPr="00B522BB">
        <w:rPr>
          <w:i/>
          <w:sz w:val="20"/>
          <w:szCs w:val="20"/>
          <w:lang w:val="en-US"/>
        </w:rPr>
        <w:t>Russia Mytishchi, Mytishchi branch, Moscow state technical University them. N. Uh. Bauman</w:t>
      </w:r>
      <w:r w:rsidRPr="00B522BB">
        <w:rPr>
          <w:i/>
          <w:sz w:val="20"/>
          <w:szCs w:val="20"/>
        </w:rPr>
        <w:t>а</w:t>
      </w:r>
    </w:p>
    <w:p w:rsidR="00C76501" w:rsidRPr="00B522BB" w:rsidRDefault="00D13291" w:rsidP="00D13291">
      <w:pPr>
        <w:spacing w:after="0" w:line="240" w:lineRule="auto"/>
        <w:ind w:firstLine="720"/>
        <w:jc w:val="both"/>
        <w:rPr>
          <w:i/>
          <w:sz w:val="20"/>
          <w:szCs w:val="20"/>
          <w:lang w:val="en-US"/>
        </w:rPr>
      </w:pPr>
      <w:r w:rsidRPr="00B522BB">
        <w:rPr>
          <w:i/>
          <w:sz w:val="20"/>
          <w:szCs w:val="20"/>
          <w:lang w:val="en-US"/>
        </w:rPr>
        <w:t>The report states main ideas of methodology and results of analytical and experimental research of inluence of bioadditives in diesel fuel on main features of diesel engines as well as defining rational modes of diesel power plants considering capacity, economical and ecological limitations.</w:t>
      </w:r>
    </w:p>
    <w:p w:rsidR="00D13291" w:rsidRPr="00F52763" w:rsidRDefault="00D13291" w:rsidP="00D13291">
      <w:pPr>
        <w:spacing w:after="0" w:line="240" w:lineRule="auto"/>
        <w:ind w:firstLine="720"/>
        <w:jc w:val="both"/>
        <w:rPr>
          <w:i/>
          <w:sz w:val="20"/>
          <w:szCs w:val="20"/>
          <w:lang w:val="en-US"/>
        </w:rPr>
      </w:pPr>
      <w:r w:rsidRPr="00B522BB">
        <w:rPr>
          <w:i/>
          <w:sz w:val="20"/>
          <w:szCs w:val="20"/>
          <w:lang w:val="en-US"/>
        </w:rPr>
        <w:t>Key words: diesel power plant, biofuel, rape oil, small-scale distributed power generation, power supply.</w:t>
      </w:r>
    </w:p>
    <w:p w:rsidR="00B522BB" w:rsidRPr="00F52763" w:rsidRDefault="00B522BB" w:rsidP="00D13291">
      <w:pPr>
        <w:spacing w:after="0" w:line="240" w:lineRule="auto"/>
        <w:ind w:firstLine="720"/>
        <w:jc w:val="both"/>
        <w:rPr>
          <w:i/>
          <w:sz w:val="24"/>
          <w:szCs w:val="24"/>
          <w:lang w:val="en-US"/>
        </w:rPr>
      </w:pPr>
    </w:p>
    <w:p w:rsidR="00C76501" w:rsidRPr="00B522BB" w:rsidRDefault="00C76501" w:rsidP="00D13291">
      <w:pPr>
        <w:spacing w:after="0" w:line="240" w:lineRule="auto"/>
        <w:jc w:val="center"/>
        <w:rPr>
          <w:rFonts w:eastAsia="Calibri"/>
        </w:rPr>
      </w:pPr>
      <w:r w:rsidRPr="00B522BB">
        <w:rPr>
          <w:rFonts w:eastAsia="Calibri"/>
          <w:lang w:val="en-US"/>
        </w:rPr>
        <w:t>Bibliography</w:t>
      </w:r>
    </w:p>
    <w:p w:rsidR="00AE0F8D" w:rsidRPr="00B522BB" w:rsidRDefault="00AE0F8D" w:rsidP="003210D2">
      <w:pPr>
        <w:pStyle w:val="a4"/>
        <w:numPr>
          <w:ilvl w:val="0"/>
          <w:numId w:val="3"/>
        </w:numPr>
        <w:tabs>
          <w:tab w:val="left" w:pos="993"/>
        </w:tabs>
        <w:spacing w:after="0" w:line="240" w:lineRule="auto"/>
        <w:ind w:left="0" w:firstLine="709"/>
        <w:jc w:val="both"/>
        <w:rPr>
          <w:rFonts w:ascii="Times New Roman" w:hAnsi="Times New Roman" w:cs="Times New Roman"/>
          <w:lang w:val="en-US"/>
        </w:rPr>
      </w:pPr>
      <w:r w:rsidRPr="00B522BB">
        <w:rPr>
          <w:rFonts w:ascii="Times New Roman" w:hAnsi="Times New Roman" w:cs="Times New Roman"/>
          <w:lang w:val="en-US"/>
        </w:rPr>
        <w:t>Latuhina, K. EHnergiya dlya mira</w:t>
      </w:r>
      <w:r w:rsidR="003210D2" w:rsidRPr="00B522BB">
        <w:rPr>
          <w:rFonts w:ascii="Times New Roman" w:hAnsi="Times New Roman" w:cs="Times New Roman"/>
          <w:lang w:val="en-US"/>
        </w:rPr>
        <w:t xml:space="preserve"> [Text]</w:t>
      </w:r>
      <w:r w:rsidRPr="00B522BB">
        <w:rPr>
          <w:rFonts w:ascii="Times New Roman" w:hAnsi="Times New Roman" w:cs="Times New Roman"/>
          <w:lang w:val="en-US"/>
        </w:rPr>
        <w:t xml:space="preserve"> / K. Latuhina  //  Rossijskaya gazeta, 30 marta 2018 goda, №67 (7530). – S.-2.</w:t>
      </w:r>
    </w:p>
    <w:p w:rsidR="00AE0F8D" w:rsidRPr="00B522BB" w:rsidRDefault="00AE0F8D" w:rsidP="003210D2">
      <w:pPr>
        <w:pStyle w:val="a4"/>
        <w:numPr>
          <w:ilvl w:val="0"/>
          <w:numId w:val="3"/>
        </w:numPr>
        <w:tabs>
          <w:tab w:val="left" w:pos="993"/>
        </w:tabs>
        <w:spacing w:after="0" w:line="240" w:lineRule="auto"/>
        <w:ind w:left="0" w:firstLine="709"/>
        <w:jc w:val="both"/>
        <w:rPr>
          <w:rFonts w:ascii="Times New Roman" w:hAnsi="Times New Roman" w:cs="Times New Roman"/>
          <w:lang w:val="en-US"/>
        </w:rPr>
      </w:pPr>
      <w:r w:rsidRPr="00B522BB">
        <w:rPr>
          <w:rFonts w:ascii="Times New Roman" w:hAnsi="Times New Roman" w:cs="Times New Roman"/>
          <w:lang w:val="en-US"/>
        </w:rPr>
        <w:t xml:space="preserve"> Tarlakov, YA.V. EHkspluatacionnye pokazateli dizel'nyh ehlektrostancij lesnogo kompleksa pri rabote na biotoplive [</w:t>
      </w:r>
      <w:r w:rsidR="003210D2" w:rsidRPr="00B522BB">
        <w:rPr>
          <w:rFonts w:ascii="Times New Roman" w:hAnsi="Times New Roman" w:cs="Times New Roman"/>
          <w:lang w:val="en-US"/>
        </w:rPr>
        <w:t>Text</w:t>
      </w:r>
      <w:r w:rsidRPr="00B522BB">
        <w:rPr>
          <w:rFonts w:ascii="Times New Roman" w:hAnsi="Times New Roman" w:cs="Times New Roman"/>
          <w:lang w:val="en-US"/>
        </w:rPr>
        <w:t>]: diss. … kand. / YA.V. Tarlakov. – M.: MGUL, 2013. – S.16-28.</w:t>
      </w:r>
    </w:p>
    <w:p w:rsidR="00AE0F8D" w:rsidRPr="00B522BB" w:rsidRDefault="00AE0F8D" w:rsidP="003210D2">
      <w:pPr>
        <w:pStyle w:val="a4"/>
        <w:numPr>
          <w:ilvl w:val="0"/>
          <w:numId w:val="3"/>
        </w:numPr>
        <w:tabs>
          <w:tab w:val="left" w:pos="993"/>
        </w:tabs>
        <w:spacing w:after="0" w:line="240" w:lineRule="auto"/>
        <w:ind w:left="0" w:firstLine="709"/>
        <w:jc w:val="both"/>
        <w:rPr>
          <w:rFonts w:ascii="Times New Roman" w:hAnsi="Times New Roman" w:cs="Times New Roman"/>
          <w:lang w:val="en-US"/>
        </w:rPr>
      </w:pPr>
      <w:r w:rsidRPr="00B522BB">
        <w:rPr>
          <w:rFonts w:ascii="Times New Roman" w:hAnsi="Times New Roman" w:cs="Times New Roman"/>
          <w:lang w:val="en-US"/>
        </w:rPr>
        <w:t xml:space="preserve"> Patent na poleznuyu model' 106918 Rossijskaya Federaciya, MPK F 02 B 63/04. Ustrojstvo dlya izmereniya tekhnicheskih harakteristik peredvizhnyh ehlektrostancij s privodom ot dvigatelya vnutrennego sgoraniya / Sirotov A.V., Tarlakov YA.V, Panferov V.I.; zayavitel' i patentoobladatel' Mosk. gos. univ. lesa. – №2011112065/06; zayavl. 31.03.11 ; opubl. 27.07.11 , Byul. № 21    (P ch.). – 2 s. : il.</w:t>
      </w:r>
    </w:p>
    <w:p w:rsidR="00AE0F8D" w:rsidRPr="00B522BB" w:rsidRDefault="00AE0F8D" w:rsidP="003210D2">
      <w:pPr>
        <w:pStyle w:val="a4"/>
        <w:numPr>
          <w:ilvl w:val="0"/>
          <w:numId w:val="3"/>
        </w:numPr>
        <w:tabs>
          <w:tab w:val="left" w:pos="993"/>
        </w:tabs>
        <w:spacing w:after="0" w:line="240" w:lineRule="auto"/>
        <w:ind w:left="0" w:firstLine="709"/>
        <w:jc w:val="both"/>
        <w:rPr>
          <w:rFonts w:ascii="Times New Roman" w:hAnsi="Times New Roman" w:cs="Times New Roman"/>
          <w:lang w:val="en-US"/>
        </w:rPr>
      </w:pPr>
      <w:r w:rsidRPr="00B522BB">
        <w:rPr>
          <w:rFonts w:ascii="Times New Roman" w:hAnsi="Times New Roman" w:cs="Times New Roman"/>
          <w:lang w:val="en-US"/>
        </w:rPr>
        <w:t xml:space="preserve"> Kol'nichenko, G.I. Issledovanie i obosnovanie ehkspluatacionnyh harakteristik dizel'-generatora, rabotayushchego na dizel'nom toplive s biodobavkami </w:t>
      </w:r>
      <w:r w:rsidR="003210D2" w:rsidRPr="00B522BB">
        <w:rPr>
          <w:rFonts w:ascii="Times New Roman" w:hAnsi="Times New Roman" w:cs="Times New Roman"/>
          <w:lang w:val="en-US"/>
        </w:rPr>
        <w:t>[Text]</w:t>
      </w:r>
      <w:r w:rsidRPr="00B522BB">
        <w:rPr>
          <w:rFonts w:ascii="Times New Roman" w:hAnsi="Times New Roman" w:cs="Times New Roman"/>
          <w:lang w:val="en-US"/>
        </w:rPr>
        <w:t xml:space="preserve"> / G.I. Kol'nichenko, A.V. Sirotov, YA.V. Tarlakov // Sbornik trudov III Mezhdunarodnoj konferencii APEHEHT-2014. – Ekaterinburg: FGAOU VPO URFU,  2014. S.230-232.</w:t>
      </w:r>
    </w:p>
    <w:p w:rsidR="00C76501" w:rsidRPr="00B522BB" w:rsidRDefault="00AE0F8D" w:rsidP="003210D2">
      <w:pPr>
        <w:pStyle w:val="a4"/>
        <w:numPr>
          <w:ilvl w:val="0"/>
          <w:numId w:val="3"/>
        </w:numPr>
        <w:tabs>
          <w:tab w:val="left" w:pos="993"/>
        </w:tabs>
        <w:spacing w:after="0" w:line="240" w:lineRule="auto"/>
        <w:ind w:left="0" w:firstLine="709"/>
        <w:jc w:val="both"/>
        <w:rPr>
          <w:rFonts w:ascii="Times New Roman" w:hAnsi="Times New Roman" w:cs="Times New Roman"/>
          <w:lang w:val="en-US"/>
        </w:rPr>
      </w:pPr>
      <w:r w:rsidRPr="00B522BB">
        <w:rPr>
          <w:rFonts w:ascii="Times New Roman" w:hAnsi="Times New Roman" w:cs="Times New Roman"/>
          <w:lang w:val="en-US"/>
        </w:rPr>
        <w:t xml:space="preserve"> Kol'nichenko, G.I. Bioehnergotekhnologii i lesopromyshlennyj kompleks </w:t>
      </w:r>
      <w:r w:rsidR="003210D2" w:rsidRPr="00B522BB">
        <w:rPr>
          <w:rFonts w:ascii="Times New Roman" w:hAnsi="Times New Roman" w:cs="Times New Roman"/>
          <w:lang w:val="en-US"/>
        </w:rPr>
        <w:t>[Text]</w:t>
      </w:r>
      <w:r w:rsidRPr="00B522BB">
        <w:rPr>
          <w:rFonts w:ascii="Times New Roman" w:hAnsi="Times New Roman" w:cs="Times New Roman"/>
          <w:lang w:val="en-US"/>
        </w:rPr>
        <w:t xml:space="preserve"> / G.I. Kol'nichenko, YA.V. Tarlakov, A.V. Sirotov // Lesnoj vestnik / Forestry Bulletin, 2017. T. 21. № 5. S. 64–68. DOI: 10.18698/2542-1468-2017-5-64-68</w:t>
      </w:r>
    </w:p>
    <w:p w:rsidR="00807C02" w:rsidRPr="00B522BB" w:rsidRDefault="00807C02" w:rsidP="00C76501">
      <w:pPr>
        <w:pStyle w:val="a4"/>
        <w:spacing w:after="0" w:line="240" w:lineRule="auto"/>
        <w:ind w:left="709"/>
        <w:jc w:val="both"/>
        <w:rPr>
          <w:rFonts w:ascii="Times New Roman" w:hAnsi="Times New Roman" w:cs="Times New Roman"/>
          <w:lang w:val="en-US"/>
        </w:rPr>
      </w:pPr>
    </w:p>
    <w:p w:rsidR="00807C02" w:rsidRPr="00B522BB" w:rsidRDefault="00807C02" w:rsidP="00807C02">
      <w:pPr>
        <w:pStyle w:val="a6"/>
        <w:shd w:val="clear" w:color="auto" w:fill="FFFFFF"/>
        <w:spacing w:before="0" w:beforeAutospacing="0" w:after="0" w:afterAutospacing="0"/>
        <w:rPr>
          <w:rFonts w:eastAsiaTheme="minorHAnsi"/>
          <w:sz w:val="22"/>
          <w:szCs w:val="22"/>
          <w:lang w:val="en-US" w:eastAsia="en-US"/>
        </w:rPr>
      </w:pPr>
      <w:r w:rsidRPr="00B522BB">
        <w:rPr>
          <w:rFonts w:eastAsiaTheme="minorHAnsi"/>
          <w:b/>
          <w:sz w:val="22"/>
          <w:szCs w:val="22"/>
          <w:lang w:val="en-US" w:eastAsia="en-US"/>
        </w:rPr>
        <w:t>Kolnichenko Georgiy I.</w:t>
      </w:r>
      <w:r w:rsidR="00B80970" w:rsidRPr="00B522BB">
        <w:rPr>
          <w:rFonts w:eastAsiaTheme="minorHAnsi"/>
          <w:sz w:val="22"/>
          <w:szCs w:val="22"/>
          <w:lang w:val="en-US" w:eastAsia="en-US"/>
        </w:rPr>
        <w:t xml:space="preserve"> – Dr. of Sciences</w:t>
      </w:r>
      <w:r w:rsidRPr="00B522BB">
        <w:rPr>
          <w:rFonts w:eastAsiaTheme="minorHAnsi"/>
          <w:sz w:val="22"/>
          <w:szCs w:val="22"/>
          <w:lang w:val="en-US" w:eastAsia="en-US"/>
        </w:rPr>
        <w:t xml:space="preserve">, </w:t>
      </w:r>
      <w:r w:rsidR="00A21A55" w:rsidRPr="00B522BB">
        <w:rPr>
          <w:rFonts w:eastAsiaTheme="minorHAnsi"/>
          <w:sz w:val="22"/>
          <w:szCs w:val="22"/>
          <w:lang w:val="en-US" w:eastAsia="en-US"/>
        </w:rPr>
        <w:t>Chief engineer</w:t>
      </w:r>
      <w:r w:rsidR="006B68C1" w:rsidRPr="00B522BB">
        <w:rPr>
          <w:rFonts w:eastAsiaTheme="minorHAnsi"/>
          <w:sz w:val="22"/>
          <w:szCs w:val="22"/>
          <w:lang w:val="en-US" w:eastAsia="en-US"/>
        </w:rPr>
        <w:t xml:space="preserve"> Department of </w:t>
      </w:r>
      <w:r w:rsidR="00B80970" w:rsidRPr="00B522BB">
        <w:rPr>
          <w:rFonts w:eastAsiaTheme="minorHAnsi"/>
          <w:sz w:val="22"/>
          <w:szCs w:val="22"/>
          <w:lang w:val="en-US" w:eastAsia="en-US"/>
        </w:rPr>
        <w:t xml:space="preserve">Department of thermophysics (E-6) </w:t>
      </w:r>
      <w:r w:rsidR="00E31D41" w:rsidRPr="00B522BB">
        <w:rPr>
          <w:rFonts w:eastAsiaTheme="minorHAnsi"/>
          <w:sz w:val="22"/>
          <w:szCs w:val="22"/>
          <w:lang w:val="en-US" w:eastAsia="en-US"/>
        </w:rPr>
        <w:t>Mytischy branch BMSTU</w:t>
      </w:r>
      <w:r w:rsidRPr="00B522BB">
        <w:rPr>
          <w:rFonts w:eastAsiaTheme="minorHAnsi"/>
          <w:sz w:val="22"/>
          <w:szCs w:val="22"/>
          <w:lang w:val="en-US" w:eastAsia="en-US"/>
        </w:rPr>
        <w:t>. g_kolnic@mail.ru, 8(498)687-3880.</w:t>
      </w:r>
    </w:p>
    <w:p w:rsidR="00807C02" w:rsidRPr="00B522BB" w:rsidRDefault="00807C02" w:rsidP="00807C02">
      <w:pPr>
        <w:pStyle w:val="a6"/>
        <w:shd w:val="clear" w:color="auto" w:fill="FFFFFF"/>
        <w:spacing w:before="0" w:beforeAutospacing="0" w:after="0" w:afterAutospacing="0"/>
        <w:rPr>
          <w:rFonts w:eastAsiaTheme="minorHAnsi"/>
          <w:sz w:val="22"/>
          <w:szCs w:val="22"/>
          <w:lang w:val="en-US" w:eastAsia="en-US"/>
        </w:rPr>
      </w:pPr>
      <w:r w:rsidRPr="00B522BB">
        <w:rPr>
          <w:rFonts w:eastAsiaTheme="minorHAnsi"/>
          <w:b/>
          <w:sz w:val="22"/>
          <w:szCs w:val="22"/>
          <w:lang w:val="en-US" w:eastAsia="en-US"/>
        </w:rPr>
        <w:t>Tarlakov Yakov V.</w:t>
      </w:r>
      <w:r w:rsidR="00181026" w:rsidRPr="00B522BB">
        <w:rPr>
          <w:rFonts w:eastAsiaTheme="minorHAnsi"/>
          <w:b/>
          <w:sz w:val="22"/>
          <w:szCs w:val="22"/>
          <w:lang w:val="en-US" w:eastAsia="en-US"/>
        </w:rPr>
        <w:t xml:space="preserve"> </w:t>
      </w:r>
      <w:r w:rsidRPr="00B522BB">
        <w:rPr>
          <w:rFonts w:eastAsiaTheme="minorHAnsi"/>
          <w:b/>
          <w:sz w:val="22"/>
          <w:szCs w:val="22"/>
          <w:lang w:val="en-US" w:eastAsia="en-US"/>
        </w:rPr>
        <w:t>–</w:t>
      </w:r>
      <w:r w:rsidR="00181026" w:rsidRPr="00B522BB">
        <w:rPr>
          <w:rFonts w:eastAsiaTheme="minorHAnsi"/>
          <w:sz w:val="22"/>
          <w:szCs w:val="22"/>
          <w:lang w:val="en-US" w:eastAsia="en-US"/>
        </w:rPr>
        <w:t xml:space="preserve"> PhD (technical)</w:t>
      </w:r>
      <w:r w:rsidRPr="00B522BB">
        <w:rPr>
          <w:rFonts w:eastAsiaTheme="minorHAnsi"/>
          <w:sz w:val="22"/>
          <w:szCs w:val="22"/>
          <w:lang w:val="en-US" w:eastAsia="en-US"/>
        </w:rPr>
        <w:t xml:space="preserve">, </w:t>
      </w:r>
      <w:r w:rsidR="003C4AFD" w:rsidRPr="00B522BB">
        <w:rPr>
          <w:rFonts w:eastAsiaTheme="minorHAnsi"/>
          <w:sz w:val="22"/>
          <w:szCs w:val="22"/>
          <w:lang w:val="en-US" w:eastAsia="en-US"/>
        </w:rPr>
        <w:t>associate Professor</w:t>
      </w:r>
      <w:r w:rsidRPr="00B522BB">
        <w:rPr>
          <w:rFonts w:eastAsiaTheme="minorHAnsi"/>
          <w:sz w:val="22"/>
          <w:szCs w:val="22"/>
          <w:lang w:val="en-US" w:eastAsia="en-US"/>
        </w:rPr>
        <w:t xml:space="preserve"> </w:t>
      </w:r>
      <w:r w:rsidR="006B68C1" w:rsidRPr="00B522BB">
        <w:rPr>
          <w:rFonts w:eastAsiaTheme="minorHAnsi"/>
          <w:sz w:val="22"/>
          <w:szCs w:val="22"/>
          <w:lang w:val="en-US" w:eastAsia="en-US"/>
        </w:rPr>
        <w:t xml:space="preserve">Department of </w:t>
      </w:r>
      <w:r w:rsidR="00B80970" w:rsidRPr="00B522BB">
        <w:rPr>
          <w:rFonts w:eastAsiaTheme="minorHAnsi"/>
          <w:sz w:val="22"/>
          <w:szCs w:val="22"/>
          <w:lang w:val="en-US" w:eastAsia="en-US"/>
        </w:rPr>
        <w:t>Department of thermophysics (E-6) Mytischy branch BMSTU</w:t>
      </w:r>
      <w:r w:rsidRPr="00B522BB">
        <w:rPr>
          <w:rFonts w:eastAsiaTheme="minorHAnsi"/>
          <w:sz w:val="22"/>
          <w:szCs w:val="22"/>
          <w:lang w:val="en-US" w:eastAsia="en-US"/>
        </w:rPr>
        <w:t>. tarlakov@mgul.ac.ru, 8(498)687-3880.</w:t>
      </w:r>
    </w:p>
    <w:p w:rsidR="00807C02" w:rsidRPr="00B522BB" w:rsidRDefault="00807C02" w:rsidP="00F52763">
      <w:pPr>
        <w:pStyle w:val="a6"/>
        <w:shd w:val="clear" w:color="auto" w:fill="FFFFFF"/>
        <w:spacing w:before="0" w:beforeAutospacing="0" w:after="0" w:afterAutospacing="0"/>
        <w:rPr>
          <w:lang w:val="en-US"/>
        </w:rPr>
      </w:pPr>
      <w:r w:rsidRPr="00B522BB">
        <w:rPr>
          <w:rFonts w:eastAsiaTheme="minorHAnsi"/>
          <w:b/>
          <w:sz w:val="22"/>
          <w:szCs w:val="22"/>
          <w:lang w:val="en-US" w:eastAsia="en-US"/>
        </w:rPr>
        <w:t>Sirotov Aleksand V.</w:t>
      </w:r>
      <w:r w:rsidR="00B80970" w:rsidRPr="00B522BB">
        <w:rPr>
          <w:rFonts w:eastAsiaTheme="minorHAnsi"/>
          <w:sz w:val="22"/>
          <w:szCs w:val="22"/>
          <w:lang w:val="en-US" w:eastAsia="en-US"/>
        </w:rPr>
        <w:t xml:space="preserve"> – Dr. of Sciences</w:t>
      </w:r>
      <w:r w:rsidRPr="00B522BB">
        <w:rPr>
          <w:rFonts w:eastAsiaTheme="minorHAnsi"/>
          <w:sz w:val="22"/>
          <w:szCs w:val="22"/>
          <w:lang w:val="en-US" w:eastAsia="en-US"/>
        </w:rPr>
        <w:t xml:space="preserve">, Professor, Department of </w:t>
      </w:r>
      <w:r w:rsidR="00B80970" w:rsidRPr="00B522BB">
        <w:rPr>
          <w:rFonts w:eastAsiaTheme="minorHAnsi"/>
          <w:sz w:val="22"/>
          <w:szCs w:val="22"/>
          <w:lang w:val="en-US" w:eastAsia="en-US"/>
        </w:rPr>
        <w:t>Department of thermophysics (E-6) Mytischy branch BMSTU</w:t>
      </w:r>
      <w:r w:rsidRPr="00B522BB">
        <w:rPr>
          <w:rFonts w:eastAsiaTheme="minorHAnsi"/>
          <w:sz w:val="22"/>
          <w:szCs w:val="22"/>
          <w:lang w:val="en-US" w:eastAsia="en-US"/>
        </w:rPr>
        <w:t>. sirotov1953@gmail.com, 8(498)687-3880</w:t>
      </w:r>
    </w:p>
    <w:sectPr w:rsidR="00807C02" w:rsidRPr="00B522BB" w:rsidSect="00E221E1">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180C51"/>
    <w:multiLevelType w:val="hybridMultilevel"/>
    <w:tmpl w:val="65F266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0D760ED"/>
    <w:multiLevelType w:val="hybridMultilevel"/>
    <w:tmpl w:val="5624159A"/>
    <w:lvl w:ilvl="0" w:tplc="1D1658EA">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5D01EC8"/>
    <w:multiLevelType w:val="hybridMultilevel"/>
    <w:tmpl w:val="C6182100"/>
    <w:lvl w:ilvl="0" w:tplc="C4964E5E">
      <w:start w:val="1"/>
      <w:numFmt w:val="decimal"/>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2"/>
  </w:compat>
  <w:rsids>
    <w:rsidRoot w:val="00597373"/>
    <w:rsid w:val="00032102"/>
    <w:rsid w:val="000D6118"/>
    <w:rsid w:val="000D68D5"/>
    <w:rsid w:val="00181026"/>
    <w:rsid w:val="001D21C1"/>
    <w:rsid w:val="001D30F5"/>
    <w:rsid w:val="002B577F"/>
    <w:rsid w:val="002B5F51"/>
    <w:rsid w:val="002C6A08"/>
    <w:rsid w:val="003210D2"/>
    <w:rsid w:val="00322D40"/>
    <w:rsid w:val="003B4458"/>
    <w:rsid w:val="003C4AFD"/>
    <w:rsid w:val="00424DF6"/>
    <w:rsid w:val="004B48A7"/>
    <w:rsid w:val="004F67A1"/>
    <w:rsid w:val="00597373"/>
    <w:rsid w:val="006B68C1"/>
    <w:rsid w:val="00807C02"/>
    <w:rsid w:val="00852F21"/>
    <w:rsid w:val="00891AAA"/>
    <w:rsid w:val="00894843"/>
    <w:rsid w:val="009117D4"/>
    <w:rsid w:val="00927D1C"/>
    <w:rsid w:val="009B2F64"/>
    <w:rsid w:val="009E086F"/>
    <w:rsid w:val="009F293A"/>
    <w:rsid w:val="00A04A77"/>
    <w:rsid w:val="00A13F1F"/>
    <w:rsid w:val="00A21A55"/>
    <w:rsid w:val="00A46CC4"/>
    <w:rsid w:val="00A4797B"/>
    <w:rsid w:val="00A61D82"/>
    <w:rsid w:val="00AA3349"/>
    <w:rsid w:val="00AE0F8D"/>
    <w:rsid w:val="00AE42E1"/>
    <w:rsid w:val="00AF57B6"/>
    <w:rsid w:val="00B16117"/>
    <w:rsid w:val="00B45CD6"/>
    <w:rsid w:val="00B46F2C"/>
    <w:rsid w:val="00B522BB"/>
    <w:rsid w:val="00B80970"/>
    <w:rsid w:val="00BA7FEC"/>
    <w:rsid w:val="00BC56D7"/>
    <w:rsid w:val="00C1630F"/>
    <w:rsid w:val="00C76501"/>
    <w:rsid w:val="00CF3113"/>
    <w:rsid w:val="00D13291"/>
    <w:rsid w:val="00D16C24"/>
    <w:rsid w:val="00D3288E"/>
    <w:rsid w:val="00D35962"/>
    <w:rsid w:val="00D57DF2"/>
    <w:rsid w:val="00D670CC"/>
    <w:rsid w:val="00D864E2"/>
    <w:rsid w:val="00E131B4"/>
    <w:rsid w:val="00E221E1"/>
    <w:rsid w:val="00E31D41"/>
    <w:rsid w:val="00E4456E"/>
    <w:rsid w:val="00E70D82"/>
    <w:rsid w:val="00ED6CB5"/>
    <w:rsid w:val="00EF4890"/>
    <w:rsid w:val="00F15540"/>
    <w:rsid w:val="00F520F8"/>
    <w:rsid w:val="00F52763"/>
    <w:rsid w:val="00F947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6CC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Iauiue">
    <w:name w:val="Iau?iue"/>
    <w:rsid w:val="00A13F1F"/>
    <w:pPr>
      <w:overflowPunct w:val="0"/>
      <w:autoSpaceDE w:val="0"/>
      <w:autoSpaceDN w:val="0"/>
      <w:adjustRightInd w:val="0"/>
      <w:spacing w:after="0" w:line="240" w:lineRule="auto"/>
      <w:textAlignment w:val="baseline"/>
    </w:pPr>
    <w:rPr>
      <w:rFonts w:eastAsia="Times New Roman"/>
      <w:sz w:val="24"/>
      <w:szCs w:val="20"/>
      <w:lang w:eastAsia="ru-RU"/>
    </w:rPr>
  </w:style>
  <w:style w:type="character" w:styleId="a3">
    <w:name w:val="Hyperlink"/>
    <w:basedOn w:val="a0"/>
    <w:uiPriority w:val="99"/>
    <w:unhideWhenUsed/>
    <w:rsid w:val="00A13F1F"/>
    <w:rPr>
      <w:color w:val="0000FF" w:themeColor="hyperlink"/>
      <w:u w:val="single"/>
    </w:rPr>
  </w:style>
  <w:style w:type="paragraph" w:styleId="a4">
    <w:name w:val="List Paragraph"/>
    <w:basedOn w:val="a"/>
    <w:link w:val="a5"/>
    <w:uiPriority w:val="34"/>
    <w:qFormat/>
    <w:rsid w:val="00D57DF2"/>
    <w:pPr>
      <w:ind w:left="720"/>
      <w:contextualSpacing/>
    </w:pPr>
    <w:rPr>
      <w:rFonts w:asciiTheme="minorHAnsi" w:hAnsiTheme="minorHAnsi" w:cstheme="minorBidi"/>
    </w:rPr>
  </w:style>
  <w:style w:type="character" w:customStyle="1" w:styleId="a5">
    <w:name w:val="Абзац списка Знак"/>
    <w:link w:val="a4"/>
    <w:uiPriority w:val="34"/>
    <w:rsid w:val="00C76501"/>
    <w:rPr>
      <w:rFonts w:asciiTheme="minorHAnsi" w:hAnsiTheme="minorHAnsi" w:cstheme="minorBidi"/>
    </w:rPr>
  </w:style>
  <w:style w:type="paragraph" w:styleId="a6">
    <w:name w:val="Normal (Web)"/>
    <w:basedOn w:val="a"/>
    <w:uiPriority w:val="99"/>
    <w:unhideWhenUsed/>
    <w:rsid w:val="00C76501"/>
    <w:pPr>
      <w:spacing w:before="100" w:beforeAutospacing="1" w:after="100" w:afterAutospacing="1" w:line="240" w:lineRule="auto"/>
    </w:pPr>
    <w:rPr>
      <w:rFonts w:eastAsia="Times New Roman"/>
      <w:sz w:val="24"/>
      <w:szCs w:val="24"/>
      <w:lang w:eastAsia="ru-RU"/>
    </w:rPr>
  </w:style>
  <w:style w:type="paragraph" w:styleId="a7">
    <w:name w:val="Balloon Text"/>
    <w:basedOn w:val="a"/>
    <w:link w:val="a8"/>
    <w:uiPriority w:val="99"/>
    <w:semiHidden/>
    <w:unhideWhenUsed/>
    <w:rsid w:val="003C4AF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3C4AF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7603959">
      <w:bodyDiv w:val="1"/>
      <w:marLeft w:val="0"/>
      <w:marRight w:val="0"/>
      <w:marTop w:val="0"/>
      <w:marBottom w:val="0"/>
      <w:divBdr>
        <w:top w:val="none" w:sz="0" w:space="0" w:color="auto"/>
        <w:left w:val="none" w:sz="0" w:space="0" w:color="auto"/>
        <w:bottom w:val="none" w:sz="0" w:space="0" w:color="auto"/>
        <w:right w:val="none" w:sz="0" w:space="0" w:color="auto"/>
      </w:divBdr>
    </w:div>
    <w:div w:id="798259999">
      <w:bodyDiv w:val="1"/>
      <w:marLeft w:val="0"/>
      <w:marRight w:val="0"/>
      <w:marTop w:val="0"/>
      <w:marBottom w:val="0"/>
      <w:divBdr>
        <w:top w:val="none" w:sz="0" w:space="0" w:color="auto"/>
        <w:left w:val="none" w:sz="0" w:space="0" w:color="auto"/>
        <w:bottom w:val="none" w:sz="0" w:space="0" w:color="auto"/>
        <w:right w:val="none" w:sz="0" w:space="0" w:color="auto"/>
      </w:divBdr>
    </w:div>
    <w:div w:id="1349796913">
      <w:bodyDiv w:val="1"/>
      <w:marLeft w:val="0"/>
      <w:marRight w:val="0"/>
      <w:marTop w:val="0"/>
      <w:marBottom w:val="0"/>
      <w:divBdr>
        <w:top w:val="none" w:sz="0" w:space="0" w:color="auto"/>
        <w:left w:val="none" w:sz="0" w:space="0" w:color="auto"/>
        <w:bottom w:val="none" w:sz="0" w:space="0" w:color="auto"/>
        <w:right w:val="none" w:sz="0" w:space="0" w:color="auto"/>
      </w:divBdr>
    </w:div>
    <w:div w:id="1777402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3" Type="http://schemas.openxmlformats.org/officeDocument/2006/relationships/styles" Target="styles.xml"/><Relationship Id="rId7" Type="http://schemas.openxmlformats.org/officeDocument/2006/relationships/hyperlink" Target="http://teacode.com/online/udc/62/621.315.html"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tarlakov@mgul.ac.ru" TargetMode="External"/><Relationship Id="rId4" Type="http://schemas.microsoft.com/office/2007/relationships/stylesWithEffects" Target="stylesWithEffects.xml"/><Relationship Id="rId9" Type="http://schemas.openxmlformats.org/officeDocument/2006/relationships/chart" Target="charts/chart2.xml"/></Relationships>
</file>

<file path=word/charts/_rels/chart1.xml.rels><?xml version="1.0" encoding="UTF-8" standalone="yes"?>
<Relationships xmlns="http://schemas.openxmlformats.org/package/2006/relationships"><Relationship Id="rId1" Type="http://schemas.openxmlformats.org/officeDocument/2006/relationships/oleObject" Target="file:///F:\&#1059;&#1053;&#1048;&#1042;&#1045;&#1056;&#1057;&#1048;&#1058;&#1045;&#1058;\&#1044;&#1080;&#1089;&#1089;&#1089;&#1077;&#1088;&#1090;&#1072;&#1094;&#1080;&#1103;%20&#1058;&#1072;&#1088;&#1083;&#1072;&#1082;&#1086;&#1074;\&#1044;&#1080;&#1089;&#1089;&#1077;&#1088;&#1090;&#1072;&#1094;&#1080;&#1103;%20&#1058;&#1072;&#1088;&#1083;&#1072;&#1082;&#1086;&#1074;&#1072;%20&#1071;.&#1042;\13.%20&#1056;&#1072;&#1089;&#1095;&#1077;&#1090;&#1099;%20&#1087;&#1086;%20&#1076;&#1080;&#1089;&#1089;&#1077;&#1088;&#1090;&#1072;&#1094;&#1080;&#1080;!!!%20&#1088;&#1077;&#1076;%2014.05.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1059;&#1053;&#1048;&#1042;&#1045;&#1056;&#1057;&#1048;&#1058;&#1045;&#1058;\&#1044;&#1080;&#1089;&#1089;&#1089;&#1077;&#1088;&#1090;&#1072;&#1094;&#1080;&#1103;%20&#1058;&#1072;&#1088;&#1083;&#1072;&#1082;&#1086;&#1074;\&#1044;&#1080;&#1089;&#1089;&#1077;&#1088;&#1090;&#1072;&#1094;&#1080;&#1103;%20&#1058;&#1072;&#1088;&#1083;&#1072;&#1082;&#1086;&#1074;&#1072;%20&#1071;.&#1042;\13.%20&#1056;&#1072;&#1089;&#1095;&#1077;&#1090;&#1099;%20&#1087;&#1086;%20&#1076;&#1080;&#1089;&#1089;&#1077;&#1088;&#1090;&#1072;&#1094;&#1080;&#1080;!!!%20&#1088;&#1077;&#1076;%2014.0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200" b="0"/>
              <a:t>л.</a:t>
            </a:r>
          </a:p>
        </c:rich>
      </c:tx>
      <c:layout>
        <c:manualLayout>
          <c:xMode val="edge"/>
          <c:yMode val="edge"/>
          <c:x val="9.6783911245922685E-3"/>
          <c:y val="5.018216006581267E-4"/>
        </c:manualLayout>
      </c:layout>
      <c:overlay val="1"/>
      <c:spPr>
        <a:noFill/>
        <a:ln w="25400">
          <a:noFill/>
        </a:ln>
      </c:spPr>
    </c:title>
    <c:autoTitleDeleted val="0"/>
    <c:plotArea>
      <c:layout>
        <c:manualLayout>
          <c:layoutTarget val="inner"/>
          <c:xMode val="edge"/>
          <c:yMode val="edge"/>
          <c:x val="8.4488407699037621E-2"/>
          <c:y val="4.3147534189805221E-2"/>
          <c:w val="0.88495603674540679"/>
          <c:h val="0.79135515955242441"/>
        </c:manualLayout>
      </c:layout>
      <c:lineChart>
        <c:grouping val="standard"/>
        <c:varyColors val="0"/>
        <c:ser>
          <c:idx val="1"/>
          <c:order val="0"/>
          <c:tx>
            <c:strRef>
              <c:f>Экспер.!$C$47</c:f>
              <c:strCache>
                <c:ptCount val="1"/>
                <c:pt idx="0">
                  <c:v>ХХ</c:v>
                </c:pt>
              </c:strCache>
            </c:strRef>
          </c:tx>
          <c:cat>
            <c:strRef>
              <c:f>Экспер.!$B$48:$B$55</c:f>
              <c:strCache>
                <c:ptCount val="8"/>
                <c:pt idx="0">
                  <c:v>ДТ</c:v>
                </c:pt>
                <c:pt idx="1">
                  <c:v>10% РМ</c:v>
                </c:pt>
                <c:pt idx="2">
                  <c:v>15% РМ</c:v>
                </c:pt>
                <c:pt idx="3">
                  <c:v>20% РМ</c:v>
                </c:pt>
                <c:pt idx="4">
                  <c:v>25% РМ</c:v>
                </c:pt>
                <c:pt idx="5">
                  <c:v>30% РМ</c:v>
                </c:pt>
                <c:pt idx="6">
                  <c:v>35% РМ</c:v>
                </c:pt>
                <c:pt idx="7">
                  <c:v>40% РМ</c:v>
                </c:pt>
              </c:strCache>
            </c:strRef>
          </c:cat>
          <c:val>
            <c:numRef>
              <c:f>Экспер.!$C$48:$C$55</c:f>
              <c:numCache>
                <c:formatCode>General</c:formatCode>
                <c:ptCount val="8"/>
                <c:pt idx="0">
                  <c:v>0.60000000000000064</c:v>
                </c:pt>
                <c:pt idx="1">
                  <c:v>0.63000000000000078</c:v>
                </c:pt>
                <c:pt idx="2">
                  <c:v>0.65000000000000091</c:v>
                </c:pt>
                <c:pt idx="3">
                  <c:v>0.70000000000000062</c:v>
                </c:pt>
                <c:pt idx="4">
                  <c:v>0.84000000000000064</c:v>
                </c:pt>
                <c:pt idx="5">
                  <c:v>0.9</c:v>
                </c:pt>
                <c:pt idx="6">
                  <c:v>1.1000000000000001</c:v>
                </c:pt>
                <c:pt idx="7">
                  <c:v>1.3</c:v>
                </c:pt>
              </c:numCache>
            </c:numRef>
          </c:val>
          <c:smooth val="0"/>
        </c:ser>
        <c:ser>
          <c:idx val="2"/>
          <c:order val="1"/>
          <c:tx>
            <c:strRef>
              <c:f>Экспер.!$D$47</c:f>
              <c:strCache>
                <c:ptCount val="1"/>
                <c:pt idx="0">
                  <c:v>1 кВт</c:v>
                </c:pt>
              </c:strCache>
            </c:strRef>
          </c:tx>
          <c:cat>
            <c:strRef>
              <c:f>Экспер.!$B$48:$B$55</c:f>
              <c:strCache>
                <c:ptCount val="8"/>
                <c:pt idx="0">
                  <c:v>ДТ</c:v>
                </c:pt>
                <c:pt idx="1">
                  <c:v>10% РМ</c:v>
                </c:pt>
                <c:pt idx="2">
                  <c:v>15% РМ</c:v>
                </c:pt>
                <c:pt idx="3">
                  <c:v>20% РМ</c:v>
                </c:pt>
                <c:pt idx="4">
                  <c:v>25% РМ</c:v>
                </c:pt>
                <c:pt idx="5">
                  <c:v>30% РМ</c:v>
                </c:pt>
                <c:pt idx="6">
                  <c:v>35% РМ</c:v>
                </c:pt>
                <c:pt idx="7">
                  <c:v>40% РМ</c:v>
                </c:pt>
              </c:strCache>
            </c:strRef>
          </c:cat>
          <c:val>
            <c:numRef>
              <c:f>Экспер.!$D$48:$D$55</c:f>
              <c:numCache>
                <c:formatCode>General</c:formatCode>
                <c:ptCount val="8"/>
                <c:pt idx="0">
                  <c:v>0.8</c:v>
                </c:pt>
                <c:pt idx="1">
                  <c:v>0.83000000000000063</c:v>
                </c:pt>
                <c:pt idx="2">
                  <c:v>0.86000000000000065</c:v>
                </c:pt>
                <c:pt idx="3">
                  <c:v>0.92</c:v>
                </c:pt>
                <c:pt idx="4">
                  <c:v>1</c:v>
                </c:pt>
                <c:pt idx="5">
                  <c:v>1.5</c:v>
                </c:pt>
                <c:pt idx="6">
                  <c:v>1.7</c:v>
                </c:pt>
                <c:pt idx="7">
                  <c:v>1.9000000000000001</c:v>
                </c:pt>
              </c:numCache>
            </c:numRef>
          </c:val>
          <c:smooth val="0"/>
        </c:ser>
        <c:ser>
          <c:idx val="3"/>
          <c:order val="2"/>
          <c:tx>
            <c:strRef>
              <c:f>Экспер.!$E$47</c:f>
              <c:strCache>
                <c:ptCount val="1"/>
                <c:pt idx="0">
                  <c:v>1,5 кВт</c:v>
                </c:pt>
              </c:strCache>
            </c:strRef>
          </c:tx>
          <c:cat>
            <c:strRef>
              <c:f>Экспер.!$B$48:$B$55</c:f>
              <c:strCache>
                <c:ptCount val="8"/>
                <c:pt idx="0">
                  <c:v>ДТ</c:v>
                </c:pt>
                <c:pt idx="1">
                  <c:v>10% РМ</c:v>
                </c:pt>
                <c:pt idx="2">
                  <c:v>15% РМ</c:v>
                </c:pt>
                <c:pt idx="3">
                  <c:v>20% РМ</c:v>
                </c:pt>
                <c:pt idx="4">
                  <c:v>25% РМ</c:v>
                </c:pt>
                <c:pt idx="5">
                  <c:v>30% РМ</c:v>
                </c:pt>
                <c:pt idx="6">
                  <c:v>35% РМ</c:v>
                </c:pt>
                <c:pt idx="7">
                  <c:v>40% РМ</c:v>
                </c:pt>
              </c:strCache>
            </c:strRef>
          </c:cat>
          <c:val>
            <c:numRef>
              <c:f>Экспер.!$E$48:$E$55</c:f>
              <c:numCache>
                <c:formatCode>General</c:formatCode>
                <c:ptCount val="8"/>
                <c:pt idx="0">
                  <c:v>0.9</c:v>
                </c:pt>
                <c:pt idx="1">
                  <c:v>0.93</c:v>
                </c:pt>
                <c:pt idx="2">
                  <c:v>0.95000000000000062</c:v>
                </c:pt>
                <c:pt idx="3">
                  <c:v>1.1000000000000001</c:v>
                </c:pt>
                <c:pt idx="4">
                  <c:v>1.4</c:v>
                </c:pt>
                <c:pt idx="5">
                  <c:v>1.9000000000000001</c:v>
                </c:pt>
                <c:pt idx="6">
                  <c:v>2.1</c:v>
                </c:pt>
                <c:pt idx="7">
                  <c:v>2.4</c:v>
                </c:pt>
              </c:numCache>
            </c:numRef>
          </c:val>
          <c:smooth val="0"/>
        </c:ser>
        <c:ser>
          <c:idx val="0"/>
          <c:order val="3"/>
          <c:tx>
            <c:strRef>
              <c:f>Экспер.!$F$47</c:f>
              <c:strCache>
                <c:ptCount val="1"/>
                <c:pt idx="0">
                  <c:v>2,5 кВт</c:v>
                </c:pt>
              </c:strCache>
            </c:strRef>
          </c:tx>
          <c:cat>
            <c:strRef>
              <c:f>Экспер.!$B$48:$B$55</c:f>
              <c:strCache>
                <c:ptCount val="8"/>
                <c:pt idx="0">
                  <c:v>ДТ</c:v>
                </c:pt>
                <c:pt idx="1">
                  <c:v>10% РМ</c:v>
                </c:pt>
                <c:pt idx="2">
                  <c:v>15% РМ</c:v>
                </c:pt>
                <c:pt idx="3">
                  <c:v>20% РМ</c:v>
                </c:pt>
                <c:pt idx="4">
                  <c:v>25% РМ</c:v>
                </c:pt>
                <c:pt idx="5">
                  <c:v>30% РМ</c:v>
                </c:pt>
                <c:pt idx="6">
                  <c:v>35% РМ</c:v>
                </c:pt>
                <c:pt idx="7">
                  <c:v>40% РМ</c:v>
                </c:pt>
              </c:strCache>
            </c:strRef>
          </c:cat>
          <c:val>
            <c:numRef>
              <c:f>Экспер.!$F$48:$F$55</c:f>
              <c:numCache>
                <c:formatCode>General</c:formatCode>
                <c:ptCount val="8"/>
                <c:pt idx="0">
                  <c:v>1</c:v>
                </c:pt>
                <c:pt idx="1">
                  <c:v>1.4</c:v>
                </c:pt>
                <c:pt idx="2">
                  <c:v>1.5</c:v>
                </c:pt>
                <c:pt idx="3">
                  <c:v>1.7</c:v>
                </c:pt>
                <c:pt idx="4">
                  <c:v>2</c:v>
                </c:pt>
                <c:pt idx="5">
                  <c:v>2.5</c:v>
                </c:pt>
                <c:pt idx="6">
                  <c:v>2.8</c:v>
                </c:pt>
                <c:pt idx="7">
                  <c:v>3</c:v>
                </c:pt>
              </c:numCache>
            </c:numRef>
          </c:val>
          <c:smooth val="0"/>
        </c:ser>
        <c:ser>
          <c:idx val="4"/>
          <c:order val="4"/>
          <c:tx>
            <c:strRef>
              <c:f>Экспер.!$G$47</c:f>
              <c:strCache>
                <c:ptCount val="1"/>
                <c:pt idx="0">
                  <c:v>3,5 кВт</c:v>
                </c:pt>
              </c:strCache>
            </c:strRef>
          </c:tx>
          <c:cat>
            <c:strRef>
              <c:f>Экспер.!$B$48:$B$55</c:f>
              <c:strCache>
                <c:ptCount val="8"/>
                <c:pt idx="0">
                  <c:v>ДТ</c:v>
                </c:pt>
                <c:pt idx="1">
                  <c:v>10% РМ</c:v>
                </c:pt>
                <c:pt idx="2">
                  <c:v>15% РМ</c:v>
                </c:pt>
                <c:pt idx="3">
                  <c:v>20% РМ</c:v>
                </c:pt>
                <c:pt idx="4">
                  <c:v>25% РМ</c:v>
                </c:pt>
                <c:pt idx="5">
                  <c:v>30% РМ</c:v>
                </c:pt>
                <c:pt idx="6">
                  <c:v>35% РМ</c:v>
                </c:pt>
                <c:pt idx="7">
                  <c:v>40% РМ</c:v>
                </c:pt>
              </c:strCache>
            </c:strRef>
          </c:cat>
          <c:val>
            <c:numRef>
              <c:f>Экспер.!$G$48:$G$55</c:f>
              <c:numCache>
                <c:formatCode>General</c:formatCode>
                <c:ptCount val="8"/>
                <c:pt idx="0">
                  <c:v>1.2</c:v>
                </c:pt>
                <c:pt idx="1">
                  <c:v>1.6</c:v>
                </c:pt>
                <c:pt idx="2">
                  <c:v>1.6900000000000013</c:v>
                </c:pt>
                <c:pt idx="3">
                  <c:v>2.2000000000000002</c:v>
                </c:pt>
                <c:pt idx="4">
                  <c:v>2.5</c:v>
                </c:pt>
                <c:pt idx="5">
                  <c:v>3</c:v>
                </c:pt>
                <c:pt idx="6">
                  <c:v>3.3</c:v>
                </c:pt>
                <c:pt idx="7">
                  <c:v>3.7</c:v>
                </c:pt>
              </c:numCache>
            </c:numRef>
          </c:val>
          <c:smooth val="0"/>
        </c:ser>
        <c:ser>
          <c:idx val="5"/>
          <c:order val="5"/>
          <c:tx>
            <c:strRef>
              <c:f>Экспер.!$H$47</c:f>
              <c:strCache>
                <c:ptCount val="1"/>
                <c:pt idx="0">
                  <c:v>4,5 кВт</c:v>
                </c:pt>
              </c:strCache>
            </c:strRef>
          </c:tx>
          <c:cat>
            <c:strRef>
              <c:f>Экспер.!$B$48:$B$55</c:f>
              <c:strCache>
                <c:ptCount val="8"/>
                <c:pt idx="0">
                  <c:v>ДТ</c:v>
                </c:pt>
                <c:pt idx="1">
                  <c:v>10% РМ</c:v>
                </c:pt>
                <c:pt idx="2">
                  <c:v>15% РМ</c:v>
                </c:pt>
                <c:pt idx="3">
                  <c:v>20% РМ</c:v>
                </c:pt>
                <c:pt idx="4">
                  <c:v>25% РМ</c:v>
                </c:pt>
                <c:pt idx="5">
                  <c:v>30% РМ</c:v>
                </c:pt>
                <c:pt idx="6">
                  <c:v>35% РМ</c:v>
                </c:pt>
                <c:pt idx="7">
                  <c:v>40% РМ</c:v>
                </c:pt>
              </c:strCache>
            </c:strRef>
          </c:cat>
          <c:val>
            <c:numRef>
              <c:f>Экспер.!$H$48:$H$55</c:f>
              <c:numCache>
                <c:formatCode>General</c:formatCode>
                <c:ptCount val="8"/>
                <c:pt idx="0">
                  <c:v>1.5</c:v>
                </c:pt>
                <c:pt idx="1">
                  <c:v>1.9000000000000001</c:v>
                </c:pt>
                <c:pt idx="2">
                  <c:v>2.0499999999999998</c:v>
                </c:pt>
                <c:pt idx="3">
                  <c:v>2.7</c:v>
                </c:pt>
                <c:pt idx="4">
                  <c:v>2.9</c:v>
                </c:pt>
                <c:pt idx="5">
                  <c:v>3.4</c:v>
                </c:pt>
                <c:pt idx="6">
                  <c:v>3.8</c:v>
                </c:pt>
                <c:pt idx="7">
                  <c:v>4.2</c:v>
                </c:pt>
              </c:numCache>
            </c:numRef>
          </c:val>
          <c:smooth val="0"/>
        </c:ser>
        <c:ser>
          <c:idx val="6"/>
          <c:order val="6"/>
          <c:tx>
            <c:strRef>
              <c:f>Экспер.!$I$47</c:f>
              <c:strCache>
                <c:ptCount val="1"/>
                <c:pt idx="0">
                  <c:v>5 кВт</c:v>
                </c:pt>
              </c:strCache>
            </c:strRef>
          </c:tx>
          <c:cat>
            <c:strRef>
              <c:f>Экспер.!$B$48:$B$55</c:f>
              <c:strCache>
                <c:ptCount val="8"/>
                <c:pt idx="0">
                  <c:v>ДТ</c:v>
                </c:pt>
                <c:pt idx="1">
                  <c:v>10% РМ</c:v>
                </c:pt>
                <c:pt idx="2">
                  <c:v>15% РМ</c:v>
                </c:pt>
                <c:pt idx="3">
                  <c:v>20% РМ</c:v>
                </c:pt>
                <c:pt idx="4">
                  <c:v>25% РМ</c:v>
                </c:pt>
                <c:pt idx="5">
                  <c:v>30% РМ</c:v>
                </c:pt>
                <c:pt idx="6">
                  <c:v>35% РМ</c:v>
                </c:pt>
                <c:pt idx="7">
                  <c:v>40% РМ</c:v>
                </c:pt>
              </c:strCache>
            </c:strRef>
          </c:cat>
          <c:val>
            <c:numRef>
              <c:f>Экспер.!$I$48:$I$55</c:f>
              <c:numCache>
                <c:formatCode>General</c:formatCode>
                <c:ptCount val="8"/>
                <c:pt idx="0">
                  <c:v>1.7</c:v>
                </c:pt>
                <c:pt idx="1">
                  <c:v>2.1</c:v>
                </c:pt>
                <c:pt idx="2">
                  <c:v>2.2999999999999998</c:v>
                </c:pt>
                <c:pt idx="3">
                  <c:v>3</c:v>
                </c:pt>
                <c:pt idx="4">
                  <c:v>3.3</c:v>
                </c:pt>
                <c:pt idx="5">
                  <c:v>4</c:v>
                </c:pt>
                <c:pt idx="6">
                  <c:v>4.3</c:v>
                </c:pt>
                <c:pt idx="7">
                  <c:v>4.5999999999999996</c:v>
                </c:pt>
              </c:numCache>
            </c:numRef>
          </c:val>
          <c:smooth val="0"/>
        </c:ser>
        <c:dLbls>
          <c:showLegendKey val="0"/>
          <c:showVal val="0"/>
          <c:showCatName val="0"/>
          <c:showSerName val="0"/>
          <c:showPercent val="0"/>
          <c:showBubbleSize val="0"/>
        </c:dLbls>
        <c:marker val="1"/>
        <c:smooth val="0"/>
        <c:axId val="201304320"/>
        <c:axId val="201310208"/>
      </c:lineChart>
      <c:catAx>
        <c:axId val="201304320"/>
        <c:scaling>
          <c:orientation val="minMax"/>
        </c:scaling>
        <c:delete val="0"/>
        <c:axPos val="b"/>
        <c:minorGridlines/>
        <c:numFmt formatCode="General" sourceLinked="1"/>
        <c:majorTickMark val="none"/>
        <c:minorTickMark val="none"/>
        <c:tickLblPos val="nextTo"/>
        <c:crossAx val="201310208"/>
        <c:crosses val="autoZero"/>
        <c:auto val="1"/>
        <c:lblAlgn val="ctr"/>
        <c:lblOffset val="100"/>
        <c:noMultiLvlLbl val="0"/>
      </c:catAx>
      <c:valAx>
        <c:axId val="201310208"/>
        <c:scaling>
          <c:orientation val="minMax"/>
          <c:max val="5"/>
          <c:min val="0.5"/>
        </c:scaling>
        <c:delete val="0"/>
        <c:axPos val="l"/>
        <c:majorGridlines/>
        <c:numFmt formatCode="General" sourceLinked="1"/>
        <c:majorTickMark val="none"/>
        <c:minorTickMark val="none"/>
        <c:tickLblPos val="nextTo"/>
        <c:spPr>
          <a:ln w="9525">
            <a:noFill/>
          </a:ln>
        </c:spPr>
        <c:crossAx val="201304320"/>
        <c:crosses val="autoZero"/>
        <c:crossBetween val="between"/>
        <c:majorUnit val="0.5"/>
      </c:valAx>
    </c:plotArea>
    <c:legend>
      <c:legendPos val="b"/>
      <c:layout>
        <c:manualLayout>
          <c:xMode val="edge"/>
          <c:yMode val="edge"/>
          <c:x val="1.7853555707111619E-2"/>
          <c:y val="0.91117649767463282"/>
          <c:w val="0.9343709674086017"/>
          <c:h val="5.2874015748031494E-2"/>
        </c:manualLayout>
      </c:layout>
      <c:overlay val="0"/>
    </c:legend>
    <c:plotVisOnly val="1"/>
    <c:dispBlanksAs val="gap"/>
    <c:showDLblsOverMax val="0"/>
  </c:chart>
  <c:txPr>
    <a:bodyPr/>
    <a:lstStyle/>
    <a:p>
      <a:pPr>
        <a:defRPr>
          <a:latin typeface="Times New Roman" pitchFamily="18" charset="0"/>
          <a:cs typeface="Times New Roman" pitchFamily="18" charset="0"/>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40"/>
      <c:rotY val="300"/>
      <c:rAngAx val="0"/>
      <c:perspective val="30"/>
    </c:view3D>
    <c:floor>
      <c:thickness val="0"/>
    </c:floor>
    <c:sideWall>
      <c:thickness val="0"/>
    </c:sideWall>
    <c:backWall>
      <c:thickness val="0"/>
    </c:backWall>
    <c:plotArea>
      <c:layout>
        <c:manualLayout>
          <c:layoutTarget val="inner"/>
          <c:xMode val="edge"/>
          <c:yMode val="edge"/>
          <c:x val="5.4567093175853169E-2"/>
          <c:y val="1.7424238266705343E-2"/>
          <c:w val="0.8832762467191595"/>
          <c:h val="0.87039778802247969"/>
        </c:manualLayout>
      </c:layout>
      <c:surface3DChart>
        <c:wireframe val="0"/>
        <c:ser>
          <c:idx val="0"/>
          <c:order val="0"/>
          <c:tx>
            <c:v> 0 </c:v>
          </c:tx>
          <c:cat>
            <c:numRef>
              <c:f>Лист1!$A$1:$A$8</c:f>
              <c:numCache>
                <c:formatCode>0%</c:formatCode>
                <c:ptCount val="8"/>
                <c:pt idx="0" formatCode="General">
                  <c:v>0</c:v>
                </c:pt>
                <c:pt idx="1">
                  <c:v>0.1</c:v>
                </c:pt>
                <c:pt idx="2">
                  <c:v>0.15000000000000024</c:v>
                </c:pt>
                <c:pt idx="3">
                  <c:v>0.2</c:v>
                </c:pt>
                <c:pt idx="4">
                  <c:v>0.25</c:v>
                </c:pt>
                <c:pt idx="5">
                  <c:v>0.30000000000000032</c:v>
                </c:pt>
                <c:pt idx="6">
                  <c:v>0.35000000000000031</c:v>
                </c:pt>
                <c:pt idx="7">
                  <c:v>0.4</c:v>
                </c:pt>
              </c:numCache>
            </c:numRef>
          </c:cat>
          <c:val>
            <c:numRef>
              <c:f>Лист1!$B$1:$B$8</c:f>
              <c:numCache>
                <c:formatCode>General</c:formatCode>
                <c:ptCount val="8"/>
                <c:pt idx="0">
                  <c:v>0.60000000000000064</c:v>
                </c:pt>
                <c:pt idx="1">
                  <c:v>0.63000000000000222</c:v>
                </c:pt>
                <c:pt idx="2">
                  <c:v>0.65000000000000235</c:v>
                </c:pt>
                <c:pt idx="3">
                  <c:v>0.70000000000000062</c:v>
                </c:pt>
                <c:pt idx="4">
                  <c:v>0.84000000000000064</c:v>
                </c:pt>
                <c:pt idx="5">
                  <c:v>0.9</c:v>
                </c:pt>
                <c:pt idx="6">
                  <c:v>1.1000000000000001</c:v>
                </c:pt>
                <c:pt idx="7">
                  <c:v>1.3</c:v>
                </c:pt>
              </c:numCache>
            </c:numRef>
          </c:val>
        </c:ser>
        <c:ser>
          <c:idx val="1"/>
          <c:order val="1"/>
          <c:tx>
            <c:v>1 кВт</c:v>
          </c:tx>
          <c:cat>
            <c:numRef>
              <c:f>Лист1!$A$1:$A$8</c:f>
              <c:numCache>
                <c:formatCode>0%</c:formatCode>
                <c:ptCount val="8"/>
                <c:pt idx="0" formatCode="General">
                  <c:v>0</c:v>
                </c:pt>
                <c:pt idx="1">
                  <c:v>0.1</c:v>
                </c:pt>
                <c:pt idx="2">
                  <c:v>0.15000000000000024</c:v>
                </c:pt>
                <c:pt idx="3">
                  <c:v>0.2</c:v>
                </c:pt>
                <c:pt idx="4">
                  <c:v>0.25</c:v>
                </c:pt>
                <c:pt idx="5">
                  <c:v>0.30000000000000032</c:v>
                </c:pt>
                <c:pt idx="6">
                  <c:v>0.35000000000000031</c:v>
                </c:pt>
                <c:pt idx="7">
                  <c:v>0.4</c:v>
                </c:pt>
              </c:numCache>
            </c:numRef>
          </c:cat>
          <c:val>
            <c:numRef>
              <c:f>Лист1!$C$1:$C$8</c:f>
              <c:numCache>
                <c:formatCode>General</c:formatCode>
                <c:ptCount val="8"/>
                <c:pt idx="0">
                  <c:v>0.8</c:v>
                </c:pt>
                <c:pt idx="1">
                  <c:v>0.8</c:v>
                </c:pt>
                <c:pt idx="2">
                  <c:v>0.89000000000000035</c:v>
                </c:pt>
                <c:pt idx="3">
                  <c:v>0.92</c:v>
                </c:pt>
                <c:pt idx="4">
                  <c:v>1</c:v>
                </c:pt>
                <c:pt idx="5">
                  <c:v>1.5</c:v>
                </c:pt>
                <c:pt idx="6">
                  <c:v>1.7000000000000006</c:v>
                </c:pt>
                <c:pt idx="7">
                  <c:v>1.9000000000000001</c:v>
                </c:pt>
              </c:numCache>
            </c:numRef>
          </c:val>
        </c:ser>
        <c:ser>
          <c:idx val="2"/>
          <c:order val="2"/>
          <c:tx>
            <c:v>1,5 кВт</c:v>
          </c:tx>
          <c:cat>
            <c:numRef>
              <c:f>Лист1!$A$1:$A$8</c:f>
              <c:numCache>
                <c:formatCode>0%</c:formatCode>
                <c:ptCount val="8"/>
                <c:pt idx="0" formatCode="General">
                  <c:v>0</c:v>
                </c:pt>
                <c:pt idx="1">
                  <c:v>0.1</c:v>
                </c:pt>
                <c:pt idx="2">
                  <c:v>0.15000000000000024</c:v>
                </c:pt>
                <c:pt idx="3">
                  <c:v>0.2</c:v>
                </c:pt>
                <c:pt idx="4">
                  <c:v>0.25</c:v>
                </c:pt>
                <c:pt idx="5">
                  <c:v>0.30000000000000032</c:v>
                </c:pt>
                <c:pt idx="6">
                  <c:v>0.35000000000000031</c:v>
                </c:pt>
                <c:pt idx="7">
                  <c:v>0.4</c:v>
                </c:pt>
              </c:numCache>
            </c:numRef>
          </c:cat>
          <c:val>
            <c:numRef>
              <c:f>Лист1!$D$1:$D$8</c:f>
              <c:numCache>
                <c:formatCode>General</c:formatCode>
                <c:ptCount val="8"/>
                <c:pt idx="0">
                  <c:v>0.60000000000000064</c:v>
                </c:pt>
                <c:pt idx="1">
                  <c:v>0.61333333333333362</c:v>
                </c:pt>
                <c:pt idx="2">
                  <c:v>0.66666666666666663</c:v>
                </c:pt>
                <c:pt idx="3">
                  <c:v>0.73333333333333361</c:v>
                </c:pt>
                <c:pt idx="4">
                  <c:v>0.8666666666666667</c:v>
                </c:pt>
                <c:pt idx="5">
                  <c:v>0.93333333333333324</c:v>
                </c:pt>
                <c:pt idx="6">
                  <c:v>1</c:v>
                </c:pt>
                <c:pt idx="7">
                  <c:v>1.5333333333333332</c:v>
                </c:pt>
              </c:numCache>
            </c:numRef>
          </c:val>
        </c:ser>
        <c:ser>
          <c:idx val="3"/>
          <c:order val="3"/>
          <c:tx>
            <c:v>2,5 кВт</c:v>
          </c:tx>
          <c:cat>
            <c:numRef>
              <c:f>Лист1!$A$1:$A$8</c:f>
              <c:numCache>
                <c:formatCode>0%</c:formatCode>
                <c:ptCount val="8"/>
                <c:pt idx="0" formatCode="General">
                  <c:v>0</c:v>
                </c:pt>
                <c:pt idx="1">
                  <c:v>0.1</c:v>
                </c:pt>
                <c:pt idx="2">
                  <c:v>0.15000000000000024</c:v>
                </c:pt>
                <c:pt idx="3">
                  <c:v>0.2</c:v>
                </c:pt>
                <c:pt idx="4">
                  <c:v>0.25</c:v>
                </c:pt>
                <c:pt idx="5">
                  <c:v>0.30000000000000032</c:v>
                </c:pt>
                <c:pt idx="6">
                  <c:v>0.35000000000000031</c:v>
                </c:pt>
                <c:pt idx="7">
                  <c:v>0.4</c:v>
                </c:pt>
              </c:numCache>
            </c:numRef>
          </c:cat>
          <c:val>
            <c:numRef>
              <c:f>Лист1!$E$1:$E$8</c:f>
              <c:numCache>
                <c:formatCode>General</c:formatCode>
                <c:ptCount val="8"/>
                <c:pt idx="0">
                  <c:v>0.4</c:v>
                </c:pt>
                <c:pt idx="1">
                  <c:v>0.52</c:v>
                </c:pt>
                <c:pt idx="2">
                  <c:v>0.60000000000000064</c:v>
                </c:pt>
                <c:pt idx="3">
                  <c:v>0.68000000000000071</c:v>
                </c:pt>
                <c:pt idx="4">
                  <c:v>0.8</c:v>
                </c:pt>
                <c:pt idx="5">
                  <c:v>1</c:v>
                </c:pt>
                <c:pt idx="6">
                  <c:v>1.1199999999999954</c:v>
                </c:pt>
                <c:pt idx="7">
                  <c:v>1.2</c:v>
                </c:pt>
              </c:numCache>
            </c:numRef>
          </c:val>
        </c:ser>
        <c:ser>
          <c:idx val="4"/>
          <c:order val="4"/>
          <c:tx>
            <c:v>3,5 кВт</c:v>
          </c:tx>
          <c:cat>
            <c:numRef>
              <c:f>Лист1!$A$1:$A$8</c:f>
              <c:numCache>
                <c:formatCode>0%</c:formatCode>
                <c:ptCount val="8"/>
                <c:pt idx="0" formatCode="General">
                  <c:v>0</c:v>
                </c:pt>
                <c:pt idx="1">
                  <c:v>0.1</c:v>
                </c:pt>
                <c:pt idx="2">
                  <c:v>0.15000000000000024</c:v>
                </c:pt>
                <c:pt idx="3">
                  <c:v>0.2</c:v>
                </c:pt>
                <c:pt idx="4">
                  <c:v>0.25</c:v>
                </c:pt>
                <c:pt idx="5">
                  <c:v>0.30000000000000032</c:v>
                </c:pt>
                <c:pt idx="6">
                  <c:v>0.35000000000000031</c:v>
                </c:pt>
                <c:pt idx="7">
                  <c:v>0.4</c:v>
                </c:pt>
              </c:numCache>
            </c:numRef>
          </c:cat>
          <c:val>
            <c:numRef>
              <c:f>Лист1!$F$1:$F$8</c:f>
              <c:numCache>
                <c:formatCode>General</c:formatCode>
                <c:ptCount val="8"/>
                <c:pt idx="0">
                  <c:v>0.34285714285714308</c:v>
                </c:pt>
                <c:pt idx="1">
                  <c:v>0.38571428571428801</c:v>
                </c:pt>
                <c:pt idx="2">
                  <c:v>0.48571428571428743</c:v>
                </c:pt>
                <c:pt idx="3">
                  <c:v>0.62857142857143089</c:v>
                </c:pt>
                <c:pt idx="4">
                  <c:v>0.71428571428571463</c:v>
                </c:pt>
                <c:pt idx="5">
                  <c:v>0.85714285714285765</c:v>
                </c:pt>
                <c:pt idx="6">
                  <c:v>0.94285714285714251</c:v>
                </c:pt>
                <c:pt idx="7">
                  <c:v>1.0571428571428572</c:v>
                </c:pt>
              </c:numCache>
            </c:numRef>
          </c:val>
        </c:ser>
        <c:ser>
          <c:idx val="5"/>
          <c:order val="5"/>
          <c:tx>
            <c:v>4,5 кВт</c:v>
          </c:tx>
          <c:cat>
            <c:numRef>
              <c:f>Лист1!$A$1:$A$8</c:f>
              <c:numCache>
                <c:formatCode>0%</c:formatCode>
                <c:ptCount val="8"/>
                <c:pt idx="0" formatCode="General">
                  <c:v>0</c:v>
                </c:pt>
                <c:pt idx="1">
                  <c:v>0.1</c:v>
                </c:pt>
                <c:pt idx="2">
                  <c:v>0.15000000000000024</c:v>
                </c:pt>
                <c:pt idx="3">
                  <c:v>0.2</c:v>
                </c:pt>
                <c:pt idx="4">
                  <c:v>0.25</c:v>
                </c:pt>
                <c:pt idx="5">
                  <c:v>0.30000000000000032</c:v>
                </c:pt>
                <c:pt idx="6">
                  <c:v>0.35000000000000031</c:v>
                </c:pt>
                <c:pt idx="7">
                  <c:v>0.4</c:v>
                </c:pt>
              </c:numCache>
            </c:numRef>
          </c:cat>
          <c:val>
            <c:numRef>
              <c:f>Лист1!$G$1:$G$8</c:f>
              <c:numCache>
                <c:formatCode>General</c:formatCode>
                <c:ptCount val="8"/>
                <c:pt idx="0">
                  <c:v>0.33333333333333331</c:v>
                </c:pt>
                <c:pt idx="1">
                  <c:v>0.37777777777777954</c:v>
                </c:pt>
                <c:pt idx="2">
                  <c:v>0.48888888888889193</c:v>
                </c:pt>
                <c:pt idx="3">
                  <c:v>0.60000000000000064</c:v>
                </c:pt>
                <c:pt idx="4">
                  <c:v>0.64444444444444693</c:v>
                </c:pt>
                <c:pt idx="5">
                  <c:v>0.75555555555555565</c:v>
                </c:pt>
                <c:pt idx="6">
                  <c:v>0.84444444444444644</c:v>
                </c:pt>
                <c:pt idx="7">
                  <c:v>0.93333333333333335</c:v>
                </c:pt>
              </c:numCache>
            </c:numRef>
          </c:val>
        </c:ser>
        <c:ser>
          <c:idx val="6"/>
          <c:order val="6"/>
          <c:tx>
            <c:v>5 кВт</c:v>
          </c:tx>
          <c:cat>
            <c:numRef>
              <c:f>Лист1!$A$1:$A$8</c:f>
              <c:numCache>
                <c:formatCode>0%</c:formatCode>
                <c:ptCount val="8"/>
                <c:pt idx="0" formatCode="General">
                  <c:v>0</c:v>
                </c:pt>
                <c:pt idx="1">
                  <c:v>0.1</c:v>
                </c:pt>
                <c:pt idx="2">
                  <c:v>0.15000000000000024</c:v>
                </c:pt>
                <c:pt idx="3">
                  <c:v>0.2</c:v>
                </c:pt>
                <c:pt idx="4">
                  <c:v>0.25</c:v>
                </c:pt>
                <c:pt idx="5">
                  <c:v>0.30000000000000032</c:v>
                </c:pt>
                <c:pt idx="6">
                  <c:v>0.35000000000000031</c:v>
                </c:pt>
                <c:pt idx="7">
                  <c:v>0.4</c:v>
                </c:pt>
              </c:numCache>
            </c:numRef>
          </c:cat>
          <c:val>
            <c:numRef>
              <c:f>Лист1!$H$1:$H$8</c:f>
              <c:numCache>
                <c:formatCode>General</c:formatCode>
                <c:ptCount val="8"/>
                <c:pt idx="0">
                  <c:v>0.34000000000000036</c:v>
                </c:pt>
                <c:pt idx="1">
                  <c:v>0.38000000000000111</c:v>
                </c:pt>
                <c:pt idx="2">
                  <c:v>0.48000000000000032</c:v>
                </c:pt>
                <c:pt idx="3">
                  <c:v>0.60000000000000064</c:v>
                </c:pt>
                <c:pt idx="4">
                  <c:v>0.66000000000000236</c:v>
                </c:pt>
                <c:pt idx="5">
                  <c:v>0.8</c:v>
                </c:pt>
                <c:pt idx="6">
                  <c:v>0.86000000000000065</c:v>
                </c:pt>
                <c:pt idx="7">
                  <c:v>0.91999999999999993</c:v>
                </c:pt>
              </c:numCache>
            </c:numRef>
          </c:val>
        </c:ser>
        <c:bandFmts/>
        <c:axId val="200709248"/>
        <c:axId val="200710784"/>
        <c:axId val="200705792"/>
      </c:surface3DChart>
      <c:catAx>
        <c:axId val="200709248"/>
        <c:scaling>
          <c:orientation val="minMax"/>
        </c:scaling>
        <c:delete val="0"/>
        <c:axPos val="b"/>
        <c:majorGridlines/>
        <c:numFmt formatCode="General" sourceLinked="1"/>
        <c:majorTickMark val="out"/>
        <c:minorTickMark val="none"/>
        <c:tickLblPos val="nextTo"/>
        <c:txPr>
          <a:bodyPr/>
          <a:lstStyle/>
          <a:p>
            <a:pPr>
              <a:defRPr sz="900">
                <a:latin typeface="Times New Roman" pitchFamily="18" charset="0"/>
                <a:cs typeface="Times New Roman" pitchFamily="18" charset="0"/>
              </a:defRPr>
            </a:pPr>
            <a:endParaRPr lang="ru-RU"/>
          </a:p>
        </c:txPr>
        <c:crossAx val="200710784"/>
        <c:crosses val="autoZero"/>
        <c:auto val="1"/>
        <c:lblAlgn val="ctr"/>
        <c:lblOffset val="100"/>
        <c:noMultiLvlLbl val="0"/>
      </c:catAx>
      <c:valAx>
        <c:axId val="200710784"/>
        <c:scaling>
          <c:orientation val="minMax"/>
        </c:scaling>
        <c:delete val="0"/>
        <c:axPos val="l"/>
        <c:majorGridlines/>
        <c:numFmt formatCode="General" sourceLinked="1"/>
        <c:majorTickMark val="out"/>
        <c:minorTickMark val="none"/>
        <c:tickLblPos val="nextTo"/>
        <c:txPr>
          <a:bodyPr/>
          <a:lstStyle/>
          <a:p>
            <a:pPr>
              <a:defRPr>
                <a:latin typeface="Times New Roman" pitchFamily="18" charset="0"/>
                <a:cs typeface="Times New Roman" pitchFamily="18" charset="0"/>
              </a:defRPr>
            </a:pPr>
            <a:endParaRPr lang="ru-RU"/>
          </a:p>
        </c:txPr>
        <c:crossAx val="200709248"/>
        <c:crosses val="autoZero"/>
        <c:crossBetween val="midCat"/>
      </c:valAx>
      <c:serAx>
        <c:axId val="200705792"/>
        <c:scaling>
          <c:orientation val="minMax"/>
        </c:scaling>
        <c:delete val="0"/>
        <c:axPos val="b"/>
        <c:majorGridlines/>
        <c:majorTickMark val="out"/>
        <c:minorTickMark val="none"/>
        <c:tickLblPos val="nextTo"/>
        <c:txPr>
          <a:bodyPr/>
          <a:lstStyle/>
          <a:p>
            <a:pPr>
              <a:defRPr>
                <a:latin typeface="Times New Roman" pitchFamily="18" charset="0"/>
                <a:cs typeface="Times New Roman" pitchFamily="18" charset="0"/>
              </a:defRPr>
            </a:pPr>
            <a:endParaRPr lang="ru-RU"/>
          </a:p>
        </c:txPr>
        <c:crossAx val="200710784"/>
        <c:crosses val="autoZero"/>
      </c:serAx>
    </c:plotArea>
    <c:plotVisOnly val="1"/>
    <c:dispBlanksAs val="zero"/>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941A1C4-CC1C-4820-9C65-4FDDB5B04B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4</Pages>
  <Words>1811</Words>
  <Characters>10323</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DreamLair</Company>
  <LinksUpToDate>false</LinksUpToDate>
  <CharactersWithSpaces>12110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яша</dc:creator>
  <cp:lastModifiedBy>Admin</cp:lastModifiedBy>
  <cp:revision>18</cp:revision>
  <cp:lastPrinted>2018-06-27T08:52:00Z</cp:lastPrinted>
  <dcterms:created xsi:type="dcterms:W3CDTF">2018-06-26T20:50:00Z</dcterms:created>
  <dcterms:modified xsi:type="dcterms:W3CDTF">2018-09-04T11:01:00Z</dcterms:modified>
</cp:coreProperties>
</file>