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AB1" w:rsidRPr="000846F4" w:rsidRDefault="00367AB1" w:rsidP="00E439F3">
      <w:pPr>
        <w:rPr>
          <w:rFonts w:eastAsia="MS Mincho"/>
          <w:sz w:val="24"/>
          <w:szCs w:val="24"/>
        </w:rPr>
      </w:pPr>
      <w:r w:rsidRPr="000846F4">
        <w:rPr>
          <w:rFonts w:eastAsia="MS Mincho"/>
          <w:sz w:val="24"/>
          <w:szCs w:val="24"/>
        </w:rPr>
        <w:t xml:space="preserve">УДК </w:t>
      </w:r>
      <w:r w:rsidR="004C1032">
        <w:rPr>
          <w:rFonts w:eastAsia="MS Mincho"/>
          <w:sz w:val="24"/>
          <w:szCs w:val="24"/>
        </w:rPr>
        <w:t>621.31</w:t>
      </w:r>
    </w:p>
    <w:p w:rsidR="00367AB1" w:rsidRPr="000846F4" w:rsidRDefault="00BE252A" w:rsidP="00367AB1">
      <w:pPr>
        <w:pStyle w:val="2"/>
        <w:spacing w:before="0" w:line="240" w:lineRule="auto"/>
        <w:jc w:val="center"/>
        <w:rPr>
          <w:rFonts w:ascii="Times New Roman" w:hAnsi="Times New Roman" w:cs="Times New Roman"/>
          <w:color w:val="auto"/>
          <w:sz w:val="24"/>
          <w:szCs w:val="24"/>
        </w:rPr>
      </w:pPr>
      <w:r w:rsidRPr="00BE252A">
        <w:rPr>
          <w:rFonts w:ascii="Times New Roman" w:hAnsi="Times New Roman"/>
          <w:color w:val="auto"/>
          <w:sz w:val="24"/>
          <w:szCs w:val="24"/>
        </w:rPr>
        <w:t>АНАЛИЗ ФОРМИРОВАНИЯ ПЛАТЫ ЗА ТЕХНОЛОГИЧЕСКОЕ ПРИСОЕДИНЕНИЕ ПОТРЕБИТЕЛЕЙ К ЭЛЕКТРИЧЕСКИМ СЕТЯМ В</w:t>
      </w:r>
      <w:r>
        <w:rPr>
          <w:rFonts w:ascii="Times New Roman" w:hAnsi="Times New Roman"/>
          <w:color w:val="auto"/>
          <w:sz w:val="24"/>
          <w:szCs w:val="24"/>
        </w:rPr>
        <w:t xml:space="preserve"> РФ</w:t>
      </w:r>
    </w:p>
    <w:p w:rsidR="00367AB1" w:rsidRPr="000846F4" w:rsidRDefault="00367AB1" w:rsidP="00367AB1">
      <w:pPr>
        <w:ind w:firstLine="709"/>
        <w:jc w:val="both"/>
        <w:rPr>
          <w:b/>
          <w:sz w:val="24"/>
          <w:szCs w:val="24"/>
        </w:rPr>
      </w:pPr>
    </w:p>
    <w:p w:rsidR="00367AB1" w:rsidRPr="000846F4" w:rsidRDefault="00BE252A" w:rsidP="00E439F3">
      <w:pPr>
        <w:jc w:val="right"/>
        <w:rPr>
          <w:b/>
          <w:i/>
          <w:sz w:val="24"/>
          <w:szCs w:val="24"/>
        </w:rPr>
      </w:pPr>
      <w:r w:rsidRPr="00730DB7">
        <w:rPr>
          <w:b/>
          <w:sz w:val="24"/>
          <w:szCs w:val="24"/>
        </w:rPr>
        <w:t>Куликова Л.В., Мельников В.А</w:t>
      </w:r>
      <w:r>
        <w:rPr>
          <w:b/>
          <w:i/>
          <w:sz w:val="24"/>
          <w:szCs w:val="24"/>
        </w:rPr>
        <w:t>.</w:t>
      </w:r>
    </w:p>
    <w:p w:rsidR="001C4CDF" w:rsidRDefault="00D7323E" w:rsidP="00F57935">
      <w:pPr>
        <w:pStyle w:val="11"/>
        <w:spacing w:line="240" w:lineRule="auto"/>
        <w:ind w:firstLine="0"/>
        <w:jc w:val="right"/>
        <w:rPr>
          <w:i/>
          <w:sz w:val="24"/>
          <w:szCs w:val="24"/>
        </w:rPr>
      </w:pPr>
      <w:r>
        <w:rPr>
          <w:bCs/>
          <w:i/>
          <w:sz w:val="24"/>
          <w:szCs w:val="24"/>
        </w:rPr>
        <w:t>Россия</w:t>
      </w:r>
      <w:r w:rsidR="00367AB1" w:rsidRPr="000846F4">
        <w:rPr>
          <w:bCs/>
          <w:i/>
          <w:sz w:val="24"/>
          <w:szCs w:val="24"/>
        </w:rPr>
        <w:t xml:space="preserve">, г. Барнаул, </w:t>
      </w:r>
      <w:r w:rsidR="00367AB1" w:rsidRPr="000846F4">
        <w:rPr>
          <w:i/>
          <w:sz w:val="24"/>
          <w:szCs w:val="24"/>
        </w:rPr>
        <w:t xml:space="preserve">Алтайский государственный технический университет </w:t>
      </w:r>
    </w:p>
    <w:p w:rsidR="00367AB1" w:rsidRPr="000846F4" w:rsidRDefault="00367AB1" w:rsidP="00F57935">
      <w:pPr>
        <w:pStyle w:val="11"/>
        <w:spacing w:line="240" w:lineRule="auto"/>
        <w:ind w:firstLine="0"/>
        <w:jc w:val="right"/>
        <w:rPr>
          <w:i/>
          <w:sz w:val="24"/>
          <w:szCs w:val="24"/>
        </w:rPr>
      </w:pPr>
      <w:r w:rsidRPr="000846F4">
        <w:rPr>
          <w:i/>
          <w:sz w:val="24"/>
          <w:szCs w:val="24"/>
        </w:rPr>
        <w:t>им. И.И. Ползунова</w:t>
      </w:r>
    </w:p>
    <w:p w:rsidR="00367AB1" w:rsidRPr="000846F4" w:rsidRDefault="00367AB1" w:rsidP="00367AB1">
      <w:pPr>
        <w:pStyle w:val="11"/>
        <w:spacing w:line="240" w:lineRule="auto"/>
        <w:jc w:val="right"/>
        <w:rPr>
          <w:bCs/>
          <w:i/>
          <w:sz w:val="24"/>
          <w:szCs w:val="24"/>
        </w:rPr>
      </w:pPr>
    </w:p>
    <w:p w:rsidR="005350B7" w:rsidRPr="003D305B" w:rsidRDefault="008C0D2D" w:rsidP="005350B7">
      <w:pPr>
        <w:pStyle w:val="af0"/>
        <w:spacing w:after="0"/>
        <w:ind w:firstLine="709"/>
        <w:jc w:val="both"/>
        <w:rPr>
          <w:i/>
          <w:noProof/>
        </w:rPr>
      </w:pPr>
      <w:r>
        <w:rPr>
          <w:i/>
        </w:rPr>
        <w:t>Выполнен</w:t>
      </w:r>
      <w:r w:rsidR="00D651E8">
        <w:rPr>
          <w:i/>
        </w:rPr>
        <w:t xml:space="preserve"> критический</w:t>
      </w:r>
      <w:r>
        <w:rPr>
          <w:i/>
        </w:rPr>
        <w:t xml:space="preserve"> анализ формирования платы за технологическое присоединение</w:t>
      </w:r>
      <w:r w:rsidR="00D651E8">
        <w:rPr>
          <w:i/>
        </w:rPr>
        <w:t xml:space="preserve"> потребителей к электрическим сетям. Выявлены основные проблемы, возникающие при формировании платы за технологическое присоединение и предложены подходы их решения</w:t>
      </w:r>
      <w:r w:rsidR="003D305B" w:rsidRPr="003D305B">
        <w:rPr>
          <w:i/>
          <w:noProof/>
        </w:rPr>
        <w:t>.</w:t>
      </w:r>
    </w:p>
    <w:p w:rsidR="00F22EF7" w:rsidRPr="003D305B" w:rsidRDefault="00367AB1" w:rsidP="000846F4">
      <w:pPr>
        <w:ind w:firstLine="709"/>
        <w:jc w:val="both"/>
        <w:rPr>
          <w:i/>
        </w:rPr>
      </w:pPr>
      <w:r w:rsidRPr="003D305B">
        <w:rPr>
          <w:i/>
        </w:rPr>
        <w:t>Ключевые слова</w:t>
      </w:r>
      <w:r w:rsidR="00841259" w:rsidRPr="003D305B">
        <w:rPr>
          <w:bCs/>
          <w:i/>
        </w:rPr>
        <w:t>:</w:t>
      </w:r>
      <w:r w:rsidR="00841259" w:rsidRPr="003D305B">
        <w:rPr>
          <w:i/>
        </w:rPr>
        <w:t xml:space="preserve"> </w:t>
      </w:r>
      <w:r w:rsidR="00D651E8">
        <w:rPr>
          <w:i/>
        </w:rPr>
        <w:t xml:space="preserve">технологическое присоединение к </w:t>
      </w:r>
      <w:r w:rsidR="00F22EF7" w:rsidRPr="003D305B">
        <w:rPr>
          <w:i/>
        </w:rPr>
        <w:t>электр</w:t>
      </w:r>
      <w:r w:rsidR="00D651E8">
        <w:rPr>
          <w:i/>
        </w:rPr>
        <w:t>ическим сетям, тарифная политика</w:t>
      </w:r>
      <w:r w:rsidR="00F22EF7" w:rsidRPr="003D305B">
        <w:rPr>
          <w:i/>
        </w:rPr>
        <w:t>.</w:t>
      </w:r>
    </w:p>
    <w:p w:rsidR="003D305B" w:rsidRDefault="003D305B" w:rsidP="00312EA1">
      <w:pPr>
        <w:pStyle w:val="af0"/>
        <w:spacing w:after="0"/>
        <w:ind w:firstLine="709"/>
        <w:jc w:val="both"/>
        <w:rPr>
          <w:sz w:val="24"/>
          <w:szCs w:val="24"/>
        </w:rPr>
      </w:pPr>
    </w:p>
    <w:p w:rsidR="00BE252A" w:rsidRPr="00B160CD" w:rsidRDefault="00BE252A" w:rsidP="00BE252A">
      <w:pPr>
        <w:ind w:firstLine="709"/>
        <w:jc w:val="both"/>
        <w:rPr>
          <w:sz w:val="24"/>
          <w:szCs w:val="24"/>
        </w:rPr>
      </w:pPr>
      <w:r w:rsidRPr="00B160CD">
        <w:rPr>
          <w:sz w:val="24"/>
          <w:szCs w:val="24"/>
        </w:rPr>
        <w:t>В условиях постоянно повышающегося спроса на технологическое присоединение к электрическим сетям анализ проблем, возникающих при формировании платы за технологическое присоединение потребителей, приобретает особую актуальность.</w:t>
      </w:r>
    </w:p>
    <w:p w:rsidR="00BE252A" w:rsidRPr="00B160CD" w:rsidRDefault="00BE252A" w:rsidP="00BE252A">
      <w:pPr>
        <w:ind w:firstLine="709"/>
        <w:jc w:val="both"/>
        <w:rPr>
          <w:sz w:val="24"/>
          <w:szCs w:val="24"/>
        </w:rPr>
      </w:pPr>
      <w:r w:rsidRPr="00B160CD">
        <w:rPr>
          <w:sz w:val="24"/>
          <w:szCs w:val="24"/>
        </w:rPr>
        <w:t xml:space="preserve">В данной работе </w:t>
      </w:r>
      <w:r>
        <w:rPr>
          <w:sz w:val="24"/>
          <w:szCs w:val="24"/>
        </w:rPr>
        <w:t xml:space="preserve">выполняется анализ </w:t>
      </w:r>
      <w:r w:rsidRPr="00B160CD">
        <w:rPr>
          <w:sz w:val="24"/>
          <w:szCs w:val="24"/>
        </w:rPr>
        <w:t xml:space="preserve">формирования платы за технологическое присоединение потребителей к электрическим сетям в РФ, определение существующих проблем тарифной политики в сфере технологического присоединения к электрическим сетям в </w:t>
      </w:r>
      <w:r w:rsidR="004C1032" w:rsidRPr="00B160CD">
        <w:rPr>
          <w:sz w:val="24"/>
          <w:szCs w:val="24"/>
        </w:rPr>
        <w:t>РФ</w:t>
      </w:r>
      <w:r w:rsidRPr="00B160CD">
        <w:rPr>
          <w:sz w:val="24"/>
          <w:szCs w:val="24"/>
        </w:rPr>
        <w:t>.</w:t>
      </w:r>
    </w:p>
    <w:p w:rsidR="00BE252A" w:rsidRPr="00B160CD" w:rsidRDefault="00BE252A" w:rsidP="00BE252A">
      <w:pPr>
        <w:ind w:firstLine="709"/>
        <w:jc w:val="both"/>
        <w:rPr>
          <w:sz w:val="24"/>
          <w:szCs w:val="24"/>
        </w:rPr>
      </w:pPr>
      <w:r w:rsidRPr="00B160CD">
        <w:rPr>
          <w:sz w:val="24"/>
          <w:szCs w:val="24"/>
        </w:rPr>
        <w:t xml:space="preserve">Размер платы за технологическое присоединение энергопринимающих устройств потребителей к электрическим сетям устанавливается органами исполнительной власти субъектов </w:t>
      </w:r>
      <w:r w:rsidR="004C1032" w:rsidRPr="00B160CD">
        <w:rPr>
          <w:sz w:val="24"/>
          <w:szCs w:val="24"/>
        </w:rPr>
        <w:t>РФ</w:t>
      </w:r>
      <w:r w:rsidRPr="00B160CD">
        <w:rPr>
          <w:sz w:val="24"/>
          <w:szCs w:val="24"/>
        </w:rPr>
        <w:t xml:space="preserve"> в области государственного регулирования тарифов на основании следующих документов:</w:t>
      </w:r>
    </w:p>
    <w:p w:rsidR="00BE252A" w:rsidRPr="00B160CD" w:rsidRDefault="00BE252A" w:rsidP="00BE252A">
      <w:pPr>
        <w:pStyle w:val="Default"/>
        <w:ind w:firstLine="709"/>
        <w:jc w:val="both"/>
      </w:pPr>
      <w:r w:rsidRPr="00B160CD">
        <w:t>- Федеральный закон № 35-ФЗ от 26.03.2003 г. (ред. от 28.12.2016 г.) «Об электроэнергетике»;</w:t>
      </w:r>
    </w:p>
    <w:p w:rsidR="00BE252A" w:rsidRPr="00B160CD" w:rsidRDefault="00BE252A" w:rsidP="00BE252A">
      <w:pPr>
        <w:pStyle w:val="Default"/>
        <w:ind w:firstLine="709"/>
        <w:jc w:val="both"/>
      </w:pPr>
      <w:r w:rsidRPr="00B160CD">
        <w:t>- Постановление Правительства Российской Федерации от 29.12.2011 г. № 1178 (ред. от 20.01.2017 г.) «О ценообразовании в области регулируемых цен (тарифов) в электроэнергетике»;</w:t>
      </w:r>
    </w:p>
    <w:p w:rsidR="00BE252A" w:rsidRPr="00B160CD" w:rsidRDefault="00BE252A" w:rsidP="00BE252A">
      <w:pPr>
        <w:pStyle w:val="Default"/>
        <w:ind w:firstLine="709"/>
        <w:jc w:val="both"/>
      </w:pPr>
      <w:r w:rsidRPr="00B160CD">
        <w:t xml:space="preserve">- Приказ Федеральной службы по тарифам от 11.09.2012 г. № 209-э/1 (ред. от 01.08.2014 г.) «Об утверждении методических указаний по определению размера платы за технологическое присоединение к электрическим сетям» (зарегистрировано в Минюсте России 28.11.2012 г. № 25948). </w:t>
      </w:r>
    </w:p>
    <w:p w:rsidR="00BE252A" w:rsidRPr="00B160CD" w:rsidRDefault="00BE252A" w:rsidP="00BE252A">
      <w:pPr>
        <w:widowControl w:val="0"/>
        <w:ind w:firstLine="709"/>
        <w:jc w:val="both"/>
        <w:rPr>
          <w:sz w:val="24"/>
          <w:szCs w:val="24"/>
        </w:rPr>
      </w:pPr>
      <w:r w:rsidRPr="00B160CD">
        <w:rPr>
          <w:sz w:val="24"/>
          <w:szCs w:val="24"/>
        </w:rPr>
        <w:t xml:space="preserve">Органами исполнительной власти субъектов </w:t>
      </w:r>
      <w:r w:rsidR="004C1032" w:rsidRPr="00B160CD">
        <w:rPr>
          <w:sz w:val="24"/>
          <w:szCs w:val="24"/>
        </w:rPr>
        <w:t>РФ</w:t>
      </w:r>
      <w:r w:rsidRPr="00B160CD">
        <w:rPr>
          <w:sz w:val="24"/>
          <w:szCs w:val="24"/>
        </w:rPr>
        <w:t xml:space="preserve"> в области государственного регулирования тарифов для расчета платы за технологическое присоединение к территориальным распределительным сетям утверждаются:</w:t>
      </w:r>
    </w:p>
    <w:p w:rsidR="00BE252A" w:rsidRPr="00B160CD" w:rsidRDefault="00BE252A" w:rsidP="00BE252A">
      <w:pPr>
        <w:widowControl w:val="0"/>
        <w:ind w:firstLine="709"/>
        <w:jc w:val="both"/>
        <w:rPr>
          <w:sz w:val="24"/>
          <w:szCs w:val="24"/>
        </w:rPr>
      </w:pPr>
      <w:r w:rsidRPr="00B160CD">
        <w:rPr>
          <w:sz w:val="24"/>
          <w:szCs w:val="24"/>
        </w:rPr>
        <w:t>а) на очередной период регулирования:</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стандартизированные тарифные ставки (руб./кВт, руб./км);</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ставки за единицу максимальной мощности (руб./кВт);</w:t>
      </w:r>
    </w:p>
    <w:p w:rsidR="00BE252A" w:rsidRPr="00B160CD" w:rsidRDefault="00BE252A" w:rsidP="00BE252A">
      <w:pPr>
        <w:widowControl w:val="0"/>
        <w:ind w:firstLine="709"/>
        <w:jc w:val="both"/>
        <w:rPr>
          <w:sz w:val="24"/>
          <w:szCs w:val="24"/>
        </w:rPr>
      </w:pPr>
      <w:r w:rsidRPr="00B160CD">
        <w:rPr>
          <w:sz w:val="24"/>
          <w:szCs w:val="24"/>
        </w:rPr>
        <w:t>- формула платы за технологическое присоединение.</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б) по обращению ТСО плата за технологическое присоединение к электрическим сетям энергопринимающих устройств отдельных потребителей максимальной мощности не менее 8900 кВт и на уровне напряжения не ниже 35 кВ и объектов по производству электрической энергии, а также при присоединении по индивидуальному проекту [1].</w:t>
      </w:r>
    </w:p>
    <w:p w:rsidR="00BE252A"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Заявитель на стадии заключения договора самостоятельно выбирает вид ставки, применяемой для расчета платы за технологическое присоединение [2].</w:t>
      </w:r>
    </w:p>
    <w:p w:rsidR="008C0D2D" w:rsidRPr="00B160CD" w:rsidRDefault="008C0D2D"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При формировании ставок для расчета платы за технологическое присоединение учитываются следующие составляющие, представленные на рисунке 1.</w:t>
      </w:r>
    </w:p>
    <w:p w:rsidR="00BE252A" w:rsidRPr="00B160CD" w:rsidRDefault="00BE252A" w:rsidP="00BE252A">
      <w:pPr>
        <w:pStyle w:val="ConsPlusNormal"/>
        <w:ind w:firstLine="709"/>
        <w:jc w:val="both"/>
        <w:rPr>
          <w:rFonts w:ascii="Times New Roman" w:hAnsi="Times New Roman" w:cs="Times New Roman"/>
          <w:sz w:val="24"/>
          <w:szCs w:val="24"/>
        </w:rPr>
      </w:pPr>
      <w:r>
        <w:rPr>
          <w:noProof/>
        </w:rPr>
        <w:lastRenderedPageBreak/>
        <w:drawing>
          <wp:anchor distT="0" distB="0" distL="114300" distR="114300" simplePos="0" relativeHeight="251661312" behindDoc="0" locked="0" layoutInCell="1" allowOverlap="1">
            <wp:simplePos x="0" y="0"/>
            <wp:positionH relativeFrom="column">
              <wp:posOffset>43815</wp:posOffset>
            </wp:positionH>
            <wp:positionV relativeFrom="paragraph">
              <wp:posOffset>55880</wp:posOffset>
            </wp:positionV>
            <wp:extent cx="3073400" cy="2070100"/>
            <wp:effectExtent l="19050" t="0" r="0" b="0"/>
            <wp:wrapSquare wrapText="bothSides"/>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9" cstate="print">
                      <a:lum contrast="30000"/>
                    </a:blip>
                    <a:srcRect/>
                    <a:stretch>
                      <a:fillRect/>
                    </a:stretch>
                  </pic:blipFill>
                  <pic:spPr bwMode="auto">
                    <a:xfrm>
                      <a:off x="0" y="0"/>
                      <a:ext cx="3073400" cy="2070100"/>
                    </a:xfrm>
                    <a:prstGeom prst="rect">
                      <a:avLst/>
                    </a:prstGeom>
                    <a:noFill/>
                    <a:ln w="9525">
                      <a:noFill/>
                      <a:miter lim="800000"/>
                      <a:headEnd/>
                      <a:tailEnd/>
                    </a:ln>
                  </pic:spPr>
                </pic:pic>
              </a:graphicData>
            </a:graphic>
          </wp:anchor>
        </w:drawing>
      </w:r>
      <w:r w:rsidRPr="00B160CD">
        <w:rPr>
          <w:rFonts w:ascii="Times New Roman" w:hAnsi="Times New Roman" w:cs="Times New Roman"/>
          <w:sz w:val="24"/>
          <w:szCs w:val="24"/>
        </w:rPr>
        <w:t>«Расходы на чернила» включают в себя расходы на проведение организационных мероприятий, необходимых для осуществления технологического присоединения, а именно:</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подготовка и выдача сетевой организацией технических условий заявителю;</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проверка сетевой организацией выполнения заявителем технических условий;</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участие сетевой организации в осмотре (обследовании) должностным лицом органа федерального государственного энергетического надзора присоединяемых устройств;</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фактические действия по присоединению и обеспечению работы устройств к электрической сети.</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Под расходами на строительство объектов «последней мили» подразумеваются расходы сетевых организаций на строительство объектов электросетевого хозяйства.</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xml:space="preserve">Инвестиционная составляющая на покрытие расходов, направленных на развитие существующих инфраструктур, исключена из состава платы за технологическое присоединение и перенесена в состав тарифа по передачи электрической энергии. Это позволило значительно снизить средний размер платы за технологическое присоединение к электрическим сетям. </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 xml:space="preserve">По данным ПАО «Россети», средний размер платы за технологическое присоединение в 2015 г. снизился на 75% по отношению к 2009 г. </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Динамика изменения среднего размера платы за технологическое присоединение за период 2009-2015 гг. представлена в таблице 1 и на рисунке 2 [3].</w:t>
      </w:r>
    </w:p>
    <w:p w:rsidR="00BE252A" w:rsidRPr="00B160CD" w:rsidRDefault="00BE252A" w:rsidP="00BE252A">
      <w:pPr>
        <w:pStyle w:val="ConsPlusNormal"/>
        <w:ind w:firstLine="454"/>
        <w:jc w:val="both"/>
        <w:rPr>
          <w:rFonts w:ascii="Times New Roman" w:hAnsi="Times New Roman" w:cs="Times New Roman"/>
          <w:sz w:val="24"/>
          <w:szCs w:val="24"/>
        </w:rPr>
      </w:pPr>
      <w:r w:rsidRPr="00B160CD">
        <w:rPr>
          <w:rFonts w:ascii="Times New Roman" w:hAnsi="Times New Roman" w:cs="Times New Roman"/>
          <w:sz w:val="24"/>
          <w:szCs w:val="24"/>
        </w:rPr>
        <w:t>Таблица 1 – Динамика изменения среднего размера платы за технологическое присоединение за период 2009-2015 гг.</w:t>
      </w:r>
    </w:p>
    <w:tbl>
      <w:tblPr>
        <w:tblW w:w="8968" w:type="dxa"/>
        <w:tblInd w:w="103" w:type="dxa"/>
        <w:tblLook w:val="00A0" w:firstRow="1" w:lastRow="0" w:firstColumn="1" w:lastColumn="0" w:noHBand="0" w:noVBand="0"/>
      </w:tblPr>
      <w:tblGrid>
        <w:gridCol w:w="3691"/>
        <w:gridCol w:w="696"/>
        <w:gridCol w:w="696"/>
        <w:gridCol w:w="696"/>
        <w:gridCol w:w="749"/>
        <w:gridCol w:w="848"/>
        <w:gridCol w:w="821"/>
        <w:gridCol w:w="771"/>
      </w:tblGrid>
      <w:tr w:rsidR="00BE252A" w:rsidRPr="00B160CD" w:rsidTr="00BE252A">
        <w:trPr>
          <w:trHeight w:val="288"/>
        </w:trPr>
        <w:tc>
          <w:tcPr>
            <w:tcW w:w="3691" w:type="dxa"/>
            <w:tcBorders>
              <w:top w:val="single" w:sz="4" w:space="0" w:color="auto"/>
              <w:left w:val="single" w:sz="4" w:space="0" w:color="auto"/>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Год</w:t>
            </w:r>
          </w:p>
        </w:tc>
        <w:tc>
          <w:tcPr>
            <w:tcW w:w="696"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2009</w:t>
            </w:r>
          </w:p>
        </w:tc>
        <w:tc>
          <w:tcPr>
            <w:tcW w:w="696"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2010</w:t>
            </w:r>
          </w:p>
        </w:tc>
        <w:tc>
          <w:tcPr>
            <w:tcW w:w="696"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2011</w:t>
            </w:r>
          </w:p>
        </w:tc>
        <w:tc>
          <w:tcPr>
            <w:tcW w:w="749"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2012</w:t>
            </w:r>
          </w:p>
        </w:tc>
        <w:tc>
          <w:tcPr>
            <w:tcW w:w="848"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2013</w:t>
            </w:r>
          </w:p>
        </w:tc>
        <w:tc>
          <w:tcPr>
            <w:tcW w:w="821"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2014</w:t>
            </w:r>
          </w:p>
        </w:tc>
        <w:tc>
          <w:tcPr>
            <w:tcW w:w="771" w:type="dxa"/>
            <w:tcBorders>
              <w:top w:val="single" w:sz="4" w:space="0" w:color="auto"/>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2015</w:t>
            </w:r>
          </w:p>
        </w:tc>
      </w:tr>
      <w:tr w:rsidR="00BE252A" w:rsidRPr="00B160CD" w:rsidTr="00BE252A">
        <w:trPr>
          <w:trHeight w:val="288"/>
        </w:trPr>
        <w:tc>
          <w:tcPr>
            <w:tcW w:w="3691" w:type="dxa"/>
            <w:tcBorders>
              <w:top w:val="nil"/>
              <w:left w:val="single" w:sz="4" w:space="0" w:color="auto"/>
              <w:bottom w:val="single" w:sz="4" w:space="0" w:color="auto"/>
              <w:right w:val="single" w:sz="4" w:space="0" w:color="auto"/>
            </w:tcBorders>
            <w:noWrap/>
            <w:vAlign w:val="center"/>
          </w:tcPr>
          <w:p w:rsidR="00BE252A" w:rsidRPr="00B160CD" w:rsidRDefault="00BE252A" w:rsidP="00E950AF">
            <w:pPr>
              <w:rPr>
                <w:color w:val="000000"/>
                <w:sz w:val="24"/>
                <w:szCs w:val="24"/>
              </w:rPr>
            </w:pPr>
            <w:r w:rsidRPr="00B160CD">
              <w:rPr>
                <w:color w:val="000000"/>
                <w:sz w:val="24"/>
                <w:szCs w:val="24"/>
              </w:rPr>
              <w:t>Средний размер платы за технологическое присоединение, руб./кВт</w:t>
            </w:r>
          </w:p>
        </w:tc>
        <w:tc>
          <w:tcPr>
            <w:tcW w:w="696"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8003</w:t>
            </w:r>
          </w:p>
        </w:tc>
        <w:tc>
          <w:tcPr>
            <w:tcW w:w="696"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9497</w:t>
            </w:r>
          </w:p>
        </w:tc>
        <w:tc>
          <w:tcPr>
            <w:tcW w:w="696"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6973</w:t>
            </w:r>
          </w:p>
        </w:tc>
        <w:tc>
          <w:tcPr>
            <w:tcW w:w="749"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4931</w:t>
            </w:r>
          </w:p>
        </w:tc>
        <w:tc>
          <w:tcPr>
            <w:tcW w:w="848"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2926</w:t>
            </w:r>
          </w:p>
        </w:tc>
        <w:tc>
          <w:tcPr>
            <w:tcW w:w="821"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2606</w:t>
            </w:r>
          </w:p>
        </w:tc>
        <w:tc>
          <w:tcPr>
            <w:tcW w:w="771" w:type="dxa"/>
            <w:tcBorders>
              <w:top w:val="nil"/>
              <w:left w:val="nil"/>
              <w:bottom w:val="single" w:sz="4" w:space="0" w:color="auto"/>
              <w:right w:val="single" w:sz="4" w:space="0" w:color="auto"/>
            </w:tcBorders>
            <w:noWrap/>
            <w:vAlign w:val="center"/>
          </w:tcPr>
          <w:p w:rsidR="00BE252A" w:rsidRPr="00B160CD" w:rsidRDefault="00BE252A" w:rsidP="00E950AF">
            <w:pPr>
              <w:jc w:val="center"/>
              <w:rPr>
                <w:color w:val="000000"/>
                <w:sz w:val="24"/>
                <w:szCs w:val="24"/>
              </w:rPr>
            </w:pPr>
            <w:r w:rsidRPr="00B160CD">
              <w:rPr>
                <w:color w:val="000000"/>
                <w:sz w:val="24"/>
                <w:szCs w:val="24"/>
              </w:rPr>
              <w:t>2007</w:t>
            </w:r>
          </w:p>
        </w:tc>
      </w:tr>
    </w:tbl>
    <w:p w:rsidR="00BE252A" w:rsidRPr="00B160CD" w:rsidRDefault="00BE252A" w:rsidP="00BE252A">
      <w:pPr>
        <w:ind w:firstLine="709"/>
        <w:jc w:val="both"/>
        <w:rPr>
          <w:sz w:val="24"/>
          <w:szCs w:val="24"/>
        </w:rPr>
      </w:pPr>
      <w:r>
        <w:rPr>
          <w:noProof/>
        </w:rPr>
        <w:drawing>
          <wp:anchor distT="0" distB="0" distL="114300" distR="114300" simplePos="0" relativeHeight="251662336" behindDoc="0" locked="0" layoutInCell="1" allowOverlap="1">
            <wp:simplePos x="0" y="0"/>
            <wp:positionH relativeFrom="column">
              <wp:posOffset>100965</wp:posOffset>
            </wp:positionH>
            <wp:positionV relativeFrom="paragraph">
              <wp:posOffset>147955</wp:posOffset>
            </wp:positionV>
            <wp:extent cx="3232150" cy="2482850"/>
            <wp:effectExtent l="19050" t="0" r="6350" b="0"/>
            <wp:wrapSquare wrapText="bothSides"/>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0" cstate="print">
                      <a:lum bright="10000" contrast="20000"/>
                    </a:blip>
                    <a:srcRect/>
                    <a:stretch>
                      <a:fillRect/>
                    </a:stretch>
                  </pic:blipFill>
                  <pic:spPr bwMode="auto">
                    <a:xfrm>
                      <a:off x="0" y="0"/>
                      <a:ext cx="3232150" cy="2482850"/>
                    </a:xfrm>
                    <a:prstGeom prst="rect">
                      <a:avLst/>
                    </a:prstGeom>
                    <a:noFill/>
                    <a:ln w="9525">
                      <a:noFill/>
                      <a:miter lim="800000"/>
                      <a:headEnd/>
                      <a:tailEnd/>
                    </a:ln>
                  </pic:spPr>
                </pic:pic>
              </a:graphicData>
            </a:graphic>
          </wp:anchor>
        </w:drawing>
      </w:r>
      <w:r w:rsidRPr="00B160CD">
        <w:rPr>
          <w:sz w:val="24"/>
          <w:szCs w:val="24"/>
        </w:rPr>
        <w:t>Снижение среднего размера платы за технологическое присоединение за период 2009</w:t>
      </w:r>
      <w:r w:rsidRPr="00B160CD">
        <w:rPr>
          <w:sz w:val="24"/>
          <w:szCs w:val="24"/>
        </w:rPr>
        <w:noBreakHyphen/>
        <w:t>2015 гг. объясняется введением льготной ставки («550 рублей») для потребителей максимальной мощности до 15 кВт включительно.</w:t>
      </w:r>
    </w:p>
    <w:p w:rsidR="00BE252A" w:rsidRPr="00B160CD" w:rsidRDefault="00BE252A" w:rsidP="00BE252A">
      <w:pPr>
        <w:ind w:firstLine="709"/>
        <w:jc w:val="both"/>
        <w:rPr>
          <w:sz w:val="24"/>
          <w:szCs w:val="24"/>
        </w:rPr>
      </w:pPr>
      <w:r w:rsidRPr="00B160CD">
        <w:rPr>
          <w:sz w:val="24"/>
          <w:szCs w:val="24"/>
        </w:rPr>
        <w:t xml:space="preserve">Кроме того, с 1 октября 2015 г. из размера платы за технологическое присоединение энергопринимающих устройств максимальной мощности до 150 кВт исключено 50% инвестиционных затрат сетевых организаций на строительство объектов «последней мили», а с 1 октября 2017 г. - 100% [4]. </w:t>
      </w:r>
    </w:p>
    <w:p w:rsidR="00BE252A" w:rsidRPr="00B160CD" w:rsidRDefault="00BE252A" w:rsidP="00BE252A">
      <w:pPr>
        <w:ind w:firstLine="709"/>
        <w:jc w:val="both"/>
        <w:rPr>
          <w:sz w:val="24"/>
          <w:szCs w:val="24"/>
        </w:rPr>
      </w:pPr>
      <w:r>
        <w:rPr>
          <w:sz w:val="24"/>
          <w:szCs w:val="24"/>
        </w:rPr>
        <w:lastRenderedPageBreak/>
        <w:t>Таким образом, н</w:t>
      </w:r>
      <w:r w:rsidRPr="00B160CD">
        <w:rPr>
          <w:sz w:val="24"/>
          <w:szCs w:val="24"/>
        </w:rPr>
        <w:t xml:space="preserve">есмотря на существенное снижение среднего значения размера платы за технологическое присоединение энергопринимающих устройств, можно выделить следующие проблемы тарифной политики в сфере технологического присоединения к электрическим сетям в </w:t>
      </w:r>
      <w:r w:rsidR="004C1032" w:rsidRPr="00B160CD">
        <w:rPr>
          <w:sz w:val="24"/>
          <w:szCs w:val="24"/>
        </w:rPr>
        <w:t>РФ</w:t>
      </w:r>
      <w:r w:rsidRPr="00B160CD">
        <w:rPr>
          <w:sz w:val="24"/>
          <w:szCs w:val="24"/>
        </w:rPr>
        <w:t>:</w:t>
      </w:r>
    </w:p>
    <w:p w:rsidR="00BE252A" w:rsidRPr="00B160CD" w:rsidRDefault="00BE252A" w:rsidP="00BE252A">
      <w:pPr>
        <w:ind w:firstLine="709"/>
        <w:jc w:val="both"/>
        <w:rPr>
          <w:sz w:val="24"/>
          <w:szCs w:val="24"/>
        </w:rPr>
      </w:pPr>
      <w:r w:rsidRPr="00B160CD">
        <w:rPr>
          <w:sz w:val="24"/>
          <w:szCs w:val="24"/>
        </w:rPr>
        <w:t xml:space="preserve">1) осуществляя плату за технологическое присоединение не по льготной ставке («550 рублей»), потребитель безвозмездно финансирует инфраструктуру </w:t>
      </w:r>
      <w:r>
        <w:rPr>
          <w:sz w:val="24"/>
          <w:szCs w:val="24"/>
        </w:rPr>
        <w:t>сетевой организации,</w:t>
      </w:r>
      <w:r w:rsidRPr="00B160CD">
        <w:rPr>
          <w:sz w:val="24"/>
          <w:szCs w:val="24"/>
        </w:rPr>
        <w:t xml:space="preserve"> которая в дальнейшем используется </w:t>
      </w:r>
      <w:r>
        <w:rPr>
          <w:sz w:val="24"/>
          <w:szCs w:val="24"/>
        </w:rPr>
        <w:t>ей</w:t>
      </w:r>
      <w:r w:rsidRPr="00B160CD">
        <w:rPr>
          <w:sz w:val="24"/>
          <w:szCs w:val="24"/>
        </w:rPr>
        <w:t xml:space="preserve"> для осуществления услуг по передаче электрической энергии. Одновременно с этим потребитель не имеет никаких прав на финансируемые им объекты электросетевого хозяйства;</w:t>
      </w:r>
    </w:p>
    <w:p w:rsidR="00BE252A" w:rsidRPr="00B160CD" w:rsidRDefault="00BE252A" w:rsidP="00BE252A">
      <w:pPr>
        <w:ind w:firstLine="709"/>
        <w:jc w:val="both"/>
        <w:rPr>
          <w:sz w:val="24"/>
          <w:szCs w:val="24"/>
        </w:rPr>
      </w:pPr>
      <w:r w:rsidRPr="00B160CD">
        <w:rPr>
          <w:sz w:val="24"/>
          <w:szCs w:val="24"/>
        </w:rPr>
        <w:t>2) возможны злоупотребления потребителем льготными ставками («550 рублей») на технологическое присоединение: разбиение одной заявки максимальной мощности более 15 кВт на несколько заявок с максимальной мощностью, не превышающей 15 кВт;</w:t>
      </w:r>
    </w:p>
    <w:p w:rsidR="00BE252A" w:rsidRPr="00B160CD" w:rsidRDefault="00BE252A" w:rsidP="00BE252A">
      <w:pPr>
        <w:ind w:firstLine="709"/>
        <w:jc w:val="both"/>
        <w:rPr>
          <w:sz w:val="24"/>
          <w:szCs w:val="24"/>
        </w:rPr>
      </w:pPr>
      <w:r w:rsidRPr="00B160CD">
        <w:rPr>
          <w:sz w:val="24"/>
          <w:szCs w:val="24"/>
        </w:rPr>
        <w:t>3) отсутствие обязательств, возлагаемых на потребителя, по оплате услуг по передаче и использованию предоставленного ему присоединения создает возможность технологического присоединения к сети заведомо больших максимальных мощностей энергопринимающих устройств без конкретных планов на дальнейшее их использование;</w:t>
      </w:r>
    </w:p>
    <w:p w:rsidR="00BE252A" w:rsidRPr="00B160CD" w:rsidRDefault="00BE252A" w:rsidP="00BE252A">
      <w:pPr>
        <w:ind w:firstLine="709"/>
        <w:jc w:val="both"/>
        <w:rPr>
          <w:sz w:val="24"/>
          <w:szCs w:val="24"/>
        </w:rPr>
      </w:pPr>
      <w:r w:rsidRPr="00B160CD">
        <w:rPr>
          <w:sz w:val="24"/>
          <w:szCs w:val="24"/>
        </w:rPr>
        <w:t>4) содержание неиспользуемых потребителем мощностей передается сетевой организации, так как законодательно установлено, что потребитель оплачивает объем услуг по передаче электрической энергии только исходя из объемов потребления электроэнергии или на основе фактически используемой мощности;</w:t>
      </w:r>
    </w:p>
    <w:p w:rsidR="00BE252A" w:rsidRPr="00B160CD" w:rsidRDefault="00BE252A" w:rsidP="00BE252A">
      <w:pPr>
        <w:ind w:firstLine="709"/>
        <w:jc w:val="both"/>
        <w:rPr>
          <w:sz w:val="24"/>
          <w:szCs w:val="24"/>
        </w:rPr>
      </w:pPr>
      <w:r w:rsidRPr="00B160CD">
        <w:rPr>
          <w:sz w:val="24"/>
          <w:szCs w:val="24"/>
        </w:rPr>
        <w:t xml:space="preserve">5) органами исполнительной власти субъектов </w:t>
      </w:r>
      <w:r w:rsidR="004C1032" w:rsidRPr="00B160CD">
        <w:rPr>
          <w:sz w:val="24"/>
          <w:szCs w:val="24"/>
        </w:rPr>
        <w:t>РФ</w:t>
      </w:r>
      <w:r w:rsidRPr="00B160CD">
        <w:rPr>
          <w:sz w:val="24"/>
          <w:szCs w:val="24"/>
        </w:rPr>
        <w:t xml:space="preserve"> в области государственного регулирования тарифов учитываются не в полной мере выпадающие расходы сетевых организаций при формировании тарифа на услуги по передачи электрической энергии. Это связано с наличием льготных потребителей (ставка «550 рублей» (до 15 кВт включительно), предоставление рассрочки платежа (до 150 кВт)) [5];</w:t>
      </w:r>
    </w:p>
    <w:p w:rsidR="007B62ED" w:rsidRDefault="00BE252A" w:rsidP="007B62ED">
      <w:pPr>
        <w:ind w:firstLine="709"/>
        <w:jc w:val="both"/>
        <w:rPr>
          <w:sz w:val="24"/>
          <w:szCs w:val="24"/>
        </w:rPr>
      </w:pPr>
      <w:r w:rsidRPr="00B160CD">
        <w:rPr>
          <w:sz w:val="24"/>
          <w:szCs w:val="24"/>
        </w:rPr>
        <w:t xml:space="preserve">6) наблюдаются существенные различия в значении размера платы за технологическое присоединение энергопринимающих устройств в отдельных регионах </w:t>
      </w:r>
      <w:r w:rsidR="004C1032" w:rsidRPr="00B160CD">
        <w:rPr>
          <w:sz w:val="24"/>
          <w:szCs w:val="24"/>
        </w:rPr>
        <w:t>РФ</w:t>
      </w:r>
      <w:r w:rsidRPr="00B160CD">
        <w:rPr>
          <w:sz w:val="24"/>
          <w:szCs w:val="24"/>
        </w:rPr>
        <w:t>. Это создает условия для формирования неравномерного экономического развития регионов [6, 7].</w:t>
      </w:r>
    </w:p>
    <w:p w:rsidR="007B62ED" w:rsidRPr="00A04683" w:rsidRDefault="007B62ED" w:rsidP="007B62ED">
      <w:pPr>
        <w:ind w:firstLine="709"/>
        <w:jc w:val="both"/>
        <w:rPr>
          <w:sz w:val="24"/>
          <w:szCs w:val="24"/>
        </w:rPr>
      </w:pPr>
      <w:r w:rsidRPr="00A04683">
        <w:rPr>
          <w:sz w:val="24"/>
          <w:szCs w:val="24"/>
        </w:rPr>
        <w:t>Для решения выявленных проблем в области технологического присоединения к электрическим сетям разработаны следующие рекомендации с учетом зарубежного опыта:</w:t>
      </w:r>
    </w:p>
    <w:p w:rsidR="007B62ED" w:rsidRPr="00A04683" w:rsidRDefault="007B62ED" w:rsidP="005E46D8">
      <w:pPr>
        <w:ind w:firstLine="709"/>
        <w:jc w:val="both"/>
        <w:rPr>
          <w:b/>
          <w:sz w:val="24"/>
          <w:szCs w:val="24"/>
          <w:u w:val="single"/>
        </w:rPr>
      </w:pPr>
      <w:r w:rsidRPr="00A04683">
        <w:rPr>
          <w:b/>
          <w:sz w:val="24"/>
          <w:szCs w:val="24"/>
          <w:u w:val="single"/>
        </w:rPr>
        <w:t>- в части совершенствования процедур, сроков, этапов технологического присоединения рекомендуется:</w:t>
      </w:r>
    </w:p>
    <w:p w:rsidR="007B62ED" w:rsidRPr="00A04683" w:rsidRDefault="007B62ED" w:rsidP="007B62ED">
      <w:pPr>
        <w:pStyle w:val="Default"/>
        <w:ind w:firstLine="709"/>
        <w:jc w:val="both"/>
      </w:pPr>
      <w:r w:rsidRPr="00A04683">
        <w:t>а) ввести возможность предварительного согласования между сетевой организацией и потребителем точки и схемы технологического присоединения, удовлетворяющих в большей мере обе стороны;</w:t>
      </w:r>
    </w:p>
    <w:p w:rsidR="007B62ED" w:rsidRDefault="007B62ED" w:rsidP="007B62ED">
      <w:pPr>
        <w:pStyle w:val="Default"/>
        <w:ind w:firstLine="709"/>
        <w:jc w:val="both"/>
      </w:pPr>
      <w:r w:rsidRPr="00A04683">
        <w:t xml:space="preserve">б) возлагать на заявителя техническими условиями минимальный набор мероприятий, необходимых </w:t>
      </w:r>
      <w:r>
        <w:t>для надежной работы электрическо</w:t>
      </w:r>
      <w:r w:rsidRPr="00A04683">
        <w:t>й сети,</w:t>
      </w:r>
      <w:r>
        <w:t xml:space="preserve"> обеспечения требуемых показателей качества электрической энергии, предотвращения ущерба для других потребителей;</w:t>
      </w:r>
    </w:p>
    <w:p w:rsidR="007B62ED" w:rsidRPr="00A04683" w:rsidRDefault="007B62ED" w:rsidP="007B62ED">
      <w:pPr>
        <w:pStyle w:val="Default"/>
        <w:ind w:firstLine="709"/>
        <w:jc w:val="both"/>
      </w:pPr>
      <w:r w:rsidRPr="00A04683">
        <w:t>в) ввести в пользу</w:t>
      </w:r>
      <w:r>
        <w:t xml:space="preserve"> заявителей</w:t>
      </w:r>
      <w:r w:rsidRPr="00A04683">
        <w:t xml:space="preserve"> для сетевых организаций, не соблюдающих сроки осуществления технологического присоединения, существенный уровень размера штрафов, который в полной мере компенсирует расходы заявителей на осуществление автономного электроснабжения (</w:t>
      </w:r>
      <w:r>
        <w:t xml:space="preserve">данное мероприятие должно стимулировать сетевые организации соблюдать срок осуществления </w:t>
      </w:r>
      <w:r w:rsidRPr="00A04683">
        <w:t>технологического присоединения);</w:t>
      </w:r>
    </w:p>
    <w:p w:rsidR="007B62ED" w:rsidRDefault="007B62ED" w:rsidP="007B62ED">
      <w:pPr>
        <w:pStyle w:val="Default"/>
        <w:ind w:firstLine="709"/>
        <w:jc w:val="both"/>
      </w:pPr>
      <w:r w:rsidRPr="00A04683">
        <w:t>г) ввести возможность заявителю нанимать специализированную аккредитованную электромонтажную организацию</w:t>
      </w:r>
      <w:r>
        <w:t xml:space="preserve"> с целью </w:t>
      </w:r>
      <w:r w:rsidRPr="00A04683">
        <w:t>взаимодействия с сетевой организацией,</w:t>
      </w:r>
      <w:r>
        <w:t xml:space="preserve"> а именно для:</w:t>
      </w:r>
    </w:p>
    <w:p w:rsidR="007B62ED" w:rsidRDefault="007B62ED" w:rsidP="007B62ED">
      <w:pPr>
        <w:pStyle w:val="Default"/>
        <w:ind w:firstLine="709"/>
        <w:jc w:val="both"/>
      </w:pPr>
      <w:r>
        <w:t>– согласования и выполнения мероприятий, указанных в технических условиях;</w:t>
      </w:r>
    </w:p>
    <w:p w:rsidR="007B62ED" w:rsidRDefault="007B62ED" w:rsidP="007B62ED">
      <w:pPr>
        <w:pStyle w:val="Default"/>
        <w:ind w:firstLine="709"/>
        <w:jc w:val="both"/>
      </w:pPr>
      <w:r>
        <w:lastRenderedPageBreak/>
        <w:t xml:space="preserve">– подписания актов в ходе выполнения процедур </w:t>
      </w:r>
      <w:r w:rsidRPr="00A04683">
        <w:t>технологического присоединения</w:t>
      </w:r>
      <w:r>
        <w:t xml:space="preserve"> без непосредственного участия заявителя;</w:t>
      </w:r>
    </w:p>
    <w:p w:rsidR="007B62ED" w:rsidRDefault="007B62ED" w:rsidP="007B62ED">
      <w:pPr>
        <w:pStyle w:val="Default"/>
        <w:ind w:firstLine="709"/>
        <w:jc w:val="both"/>
      </w:pPr>
      <w:r>
        <w:t>– решения</w:t>
      </w:r>
      <w:r w:rsidRPr="007B62ED">
        <w:t xml:space="preserve"> </w:t>
      </w:r>
      <w:r>
        <w:t xml:space="preserve">с сетевой организацией вопросов, возникающих в процессе </w:t>
      </w:r>
      <w:r w:rsidRPr="00A04683">
        <w:t>технологического присоединения</w:t>
      </w:r>
      <w:r>
        <w:t>.</w:t>
      </w:r>
    </w:p>
    <w:p w:rsidR="007B62ED" w:rsidRPr="007B62ED" w:rsidRDefault="007B62ED" w:rsidP="007B62ED">
      <w:pPr>
        <w:pStyle w:val="Default"/>
        <w:ind w:firstLine="709"/>
        <w:jc w:val="both"/>
      </w:pPr>
      <w:r w:rsidRPr="00BB5821">
        <w:rPr>
          <w:b/>
          <w:u w:val="single"/>
        </w:rPr>
        <w:t>- в части совершенствования системы ценообразован</w:t>
      </w:r>
      <w:r>
        <w:rPr>
          <w:b/>
          <w:u w:val="single"/>
        </w:rPr>
        <w:t xml:space="preserve">ия </w:t>
      </w:r>
      <w:r w:rsidR="005E46D8">
        <w:rPr>
          <w:b/>
          <w:u w:val="single"/>
        </w:rPr>
        <w:t>рекомендуется</w:t>
      </w:r>
      <w:r w:rsidRPr="00BB5821">
        <w:rPr>
          <w:b/>
          <w:u w:val="single"/>
        </w:rPr>
        <w:t>:</w:t>
      </w:r>
    </w:p>
    <w:p w:rsidR="007B62ED" w:rsidRPr="00A04683" w:rsidRDefault="007B62ED" w:rsidP="007B62ED">
      <w:pPr>
        <w:pStyle w:val="Default"/>
        <w:ind w:firstLine="709"/>
        <w:jc w:val="both"/>
      </w:pPr>
      <w:r w:rsidRPr="00A04683">
        <w:t>а) продолжить реализацию политики, направленной на сокращение</w:t>
      </w:r>
      <w:r w:rsidR="00C26B06">
        <w:t xml:space="preserve"> (а в дальнейшем и исключение)</w:t>
      </w:r>
      <w:r w:rsidRPr="00A04683">
        <w:t xml:space="preserve"> инвестиционной составляющей</w:t>
      </w:r>
      <w:r w:rsidR="00C26B06">
        <w:t xml:space="preserve"> на строительство объектов «последней мили»</w:t>
      </w:r>
      <w:r w:rsidRPr="00A04683">
        <w:t xml:space="preserve"> </w:t>
      </w:r>
      <w:r>
        <w:t>в составе</w:t>
      </w:r>
      <w:r w:rsidRPr="00A04683">
        <w:t xml:space="preserve"> платы за технологическое присоединение,</w:t>
      </w:r>
      <w:r w:rsidR="00C26B06">
        <w:t xml:space="preserve"> то есть, потребители не будут безвозмездно финансировать строительство объектов электросетевого хозяйства сетевых организаций, которые будут вынуждены самостоятельно искать источники финансирования на выполнение этих работ</w:t>
      </w:r>
      <w:r w:rsidRPr="00A04683">
        <w:t>;</w:t>
      </w:r>
    </w:p>
    <w:p w:rsidR="007B62ED" w:rsidRPr="00A04683" w:rsidRDefault="007B62ED" w:rsidP="007B62ED">
      <w:pPr>
        <w:pStyle w:val="Default"/>
        <w:ind w:firstLine="709"/>
        <w:jc w:val="both"/>
      </w:pPr>
      <w:r w:rsidRPr="00A04683">
        <w:t xml:space="preserve">б) </w:t>
      </w:r>
      <w:r w:rsidR="00D777AE">
        <w:t>ввести взимание платы за услуги</w:t>
      </w:r>
      <w:r w:rsidRPr="00A04683">
        <w:t xml:space="preserve"> передаче электрической энергии (содержание электросетевого хозяйства)</w:t>
      </w:r>
      <w:r w:rsidR="00D777AE">
        <w:t xml:space="preserve"> </w:t>
      </w:r>
      <w:r w:rsidR="00CD75C8">
        <w:t>для всех категорий потребителей</w:t>
      </w:r>
      <w:r w:rsidRPr="00A04683">
        <w:t>, исходя не из фактически используемой мощности, а из величины максимально</w:t>
      </w:r>
      <w:r>
        <w:t>й</w:t>
      </w:r>
      <w:r w:rsidRPr="00A04683">
        <w:t xml:space="preserve"> присоединенной мощности, указанной заявителем при осуществлении технологического присоединения к электрическим сетям.</w:t>
      </w:r>
      <w:r w:rsidR="00D777AE">
        <w:t xml:space="preserve"> Кроме этого, потребуется создание вторичного рынка сетевой мощности, на котором потребитель будет иметь возможность «продать» избыточную мощность сторонним потребителям;</w:t>
      </w:r>
    </w:p>
    <w:p w:rsidR="00820E29" w:rsidRDefault="007B62ED" w:rsidP="00D777AE">
      <w:pPr>
        <w:pStyle w:val="Default"/>
        <w:ind w:firstLine="709"/>
        <w:jc w:val="both"/>
      </w:pPr>
      <w:r w:rsidRPr="00A04683">
        <w:t>в) для потребителей, осуществляющих технологическое присоединение по индивидуальному проекту, применять возвратную модель ценообразования, при которой внесенная заявителем плата за технологическое присоединение в дальнейшем в полной мере компенсируется ему путем снижения тарифа на услуги по передаче электрической энергии.</w:t>
      </w:r>
      <w:r w:rsidR="00CD75C8">
        <w:t xml:space="preserve"> Исключение платы за технологическое присоединение </w:t>
      </w:r>
      <w:r w:rsidR="00820E29">
        <w:t xml:space="preserve">по индивидуальному проекту </w:t>
      </w:r>
      <w:r w:rsidR="00CD75C8">
        <w:t>невозможно</w:t>
      </w:r>
      <w:r w:rsidR="00820E29">
        <w:t>, так как это приведет к возложению существенных затрат на остальных потребителей электрической энергии.</w:t>
      </w:r>
    </w:p>
    <w:p w:rsidR="007B62ED" w:rsidRPr="00A04683" w:rsidRDefault="007B62ED" w:rsidP="007B62ED">
      <w:pPr>
        <w:pStyle w:val="Default"/>
        <w:ind w:firstLine="709"/>
        <w:jc w:val="both"/>
      </w:pPr>
      <w:r w:rsidRPr="00A04683">
        <w:t>Комплексная реализация предлагаемых мер позволит:</w:t>
      </w:r>
    </w:p>
    <w:p w:rsidR="007B62ED" w:rsidRPr="00A04683" w:rsidRDefault="005E46D8" w:rsidP="007B62ED">
      <w:pPr>
        <w:pStyle w:val="Default"/>
        <w:ind w:firstLine="709"/>
        <w:jc w:val="both"/>
      </w:pPr>
      <w:r>
        <w:t>–</w:t>
      </w:r>
      <w:r w:rsidR="007B62ED" w:rsidRPr="00A04683">
        <w:t xml:space="preserve"> повысить эффективность работы сетевых организаций;</w:t>
      </w:r>
    </w:p>
    <w:p w:rsidR="007B62ED" w:rsidRPr="00A04683" w:rsidRDefault="005E46D8" w:rsidP="007B62ED">
      <w:pPr>
        <w:pStyle w:val="Default"/>
        <w:ind w:firstLine="709"/>
        <w:jc w:val="both"/>
      </w:pPr>
      <w:r>
        <w:t>–</w:t>
      </w:r>
      <w:r w:rsidR="007B62ED" w:rsidRPr="00A04683">
        <w:t xml:space="preserve"> сократить сроки технологического присоединения без ущерба качеству предоставляемых услуг;</w:t>
      </w:r>
    </w:p>
    <w:p w:rsidR="007B62ED" w:rsidRPr="00A04683" w:rsidRDefault="005E46D8" w:rsidP="007B62ED">
      <w:pPr>
        <w:pStyle w:val="Default"/>
        <w:ind w:firstLine="709"/>
        <w:jc w:val="both"/>
      </w:pPr>
      <w:r>
        <w:t>–</w:t>
      </w:r>
      <w:r w:rsidR="007B62ED" w:rsidRPr="00A04683">
        <w:t xml:space="preserve"> упростить процедуру технологического присоединения к электрическим сетям для заявителей;</w:t>
      </w:r>
    </w:p>
    <w:p w:rsidR="007B62ED" w:rsidRPr="00A04683" w:rsidRDefault="005E46D8" w:rsidP="007B62ED">
      <w:pPr>
        <w:pStyle w:val="Default"/>
        <w:ind w:firstLine="709"/>
        <w:jc w:val="both"/>
      </w:pPr>
      <w:r>
        <w:t>–</w:t>
      </w:r>
      <w:r w:rsidR="007B62ED" w:rsidRPr="00A04683">
        <w:t xml:space="preserve"> снизить размер платы за технологическое присоединение;</w:t>
      </w:r>
    </w:p>
    <w:p w:rsidR="007B62ED" w:rsidRPr="00A04683" w:rsidRDefault="005E46D8" w:rsidP="007B62ED">
      <w:pPr>
        <w:pStyle w:val="Default"/>
        <w:ind w:firstLine="709"/>
        <w:jc w:val="both"/>
        <w:rPr>
          <w:strike/>
        </w:rPr>
      </w:pPr>
      <w:r>
        <w:t>–</w:t>
      </w:r>
      <w:r w:rsidR="007B62ED" w:rsidRPr="00A04683">
        <w:t xml:space="preserve"> увеличить доступность электросетевой инфраструктуры </w:t>
      </w:r>
      <w:r w:rsidR="00820E29">
        <w:t>РФ</w:t>
      </w:r>
      <w:r w:rsidR="007B62ED" w:rsidRPr="00A04683">
        <w:t xml:space="preserve"> для потребителей электрической энергии.</w:t>
      </w:r>
    </w:p>
    <w:p w:rsidR="008C0D2D" w:rsidRPr="00B160CD" w:rsidRDefault="008C0D2D" w:rsidP="00BE252A">
      <w:pPr>
        <w:ind w:firstLine="709"/>
        <w:jc w:val="both"/>
        <w:rPr>
          <w:sz w:val="24"/>
          <w:szCs w:val="24"/>
        </w:rPr>
      </w:pPr>
    </w:p>
    <w:p w:rsidR="00BE252A" w:rsidRPr="00B160CD" w:rsidRDefault="008C0D2D" w:rsidP="008C0D2D">
      <w:pPr>
        <w:ind w:firstLine="709"/>
        <w:jc w:val="center"/>
        <w:rPr>
          <w:b/>
          <w:sz w:val="24"/>
          <w:szCs w:val="24"/>
        </w:rPr>
      </w:pPr>
      <w:r w:rsidRPr="000B7494">
        <w:rPr>
          <w:sz w:val="22"/>
          <w:szCs w:val="24"/>
        </w:rPr>
        <w:t>Список литературы</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1. Методические указания по определению размера платы за технологическое присоединение к электрическим сетям [Электронный ресурс] / приказ Федеральной службы по тарифам России от 11.09.2012 г. №209-э/1 - Режим доступа: http://www.consultant.ru/document/cons_doc_LAW_138396, свободный - Загл.  с экрана.</w:t>
      </w:r>
    </w:p>
    <w:p w:rsidR="00BE252A" w:rsidRPr="00CF77E1" w:rsidRDefault="00BE252A" w:rsidP="00BE252A">
      <w:pPr>
        <w:pStyle w:val="ConsPlusNormal"/>
        <w:ind w:firstLine="709"/>
        <w:jc w:val="both"/>
        <w:rPr>
          <w:rFonts w:ascii="Times New Roman" w:hAnsi="Times New Roman" w:cs="Times New Roman"/>
          <w:color w:val="000000" w:themeColor="text1"/>
          <w:sz w:val="24"/>
          <w:szCs w:val="24"/>
        </w:rPr>
      </w:pPr>
      <w:r w:rsidRPr="00B160CD">
        <w:rPr>
          <w:rFonts w:ascii="Times New Roman" w:hAnsi="Times New Roman" w:cs="Times New Roman"/>
          <w:sz w:val="24"/>
          <w:szCs w:val="24"/>
        </w:rPr>
        <w:t xml:space="preserve">2.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w:t>
      </w:r>
      <w:r w:rsidRPr="00CF77E1">
        <w:rPr>
          <w:rFonts w:ascii="Times New Roman" w:hAnsi="Times New Roman" w:cs="Times New Roman"/>
          <w:color w:val="000000" w:themeColor="text1"/>
          <w:sz w:val="24"/>
          <w:szCs w:val="24"/>
        </w:rPr>
        <w:t xml:space="preserve">объектов электросетевого хозяйства, принадлежащих сетевым организациям и иным лицам, к электрическим сетям [Текст]: Постановление Правительства РФ от 27.12.2004 №861 </w:t>
      </w:r>
      <w:r w:rsidR="0025609D" w:rsidRPr="00CF77E1">
        <w:rPr>
          <w:rFonts w:ascii="Times New Roman" w:hAnsi="Times New Roman" w:cs="Times New Roman"/>
          <w:color w:val="000000" w:themeColor="text1"/>
          <w:sz w:val="24"/>
          <w:szCs w:val="24"/>
        </w:rPr>
        <w:t>(ред. от 13.08.2018)</w:t>
      </w:r>
      <w:r w:rsidR="00CF77E1" w:rsidRPr="00CF77E1">
        <w:rPr>
          <w:rFonts w:ascii="Times New Roman" w:hAnsi="Times New Roman" w:cs="Times New Roman"/>
          <w:color w:val="000000" w:themeColor="text1"/>
          <w:sz w:val="24"/>
          <w:szCs w:val="24"/>
        </w:rPr>
        <w:t>.</w:t>
      </w:r>
    </w:p>
    <w:p w:rsidR="00BE252A" w:rsidRPr="00CF77E1"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3</w:t>
      </w:r>
      <w:r>
        <w:rPr>
          <w:rFonts w:ascii="Times New Roman" w:hAnsi="Times New Roman" w:cs="Times New Roman"/>
          <w:sz w:val="24"/>
          <w:szCs w:val="24"/>
        </w:rPr>
        <w:t xml:space="preserve">. Годовой отчет </w:t>
      </w:r>
      <w:r w:rsidRPr="00CF77E1">
        <w:rPr>
          <w:rFonts w:ascii="Times New Roman" w:hAnsi="Times New Roman" w:cs="Times New Roman"/>
          <w:sz w:val="24"/>
          <w:szCs w:val="24"/>
        </w:rPr>
        <w:t xml:space="preserve">ПАО «Россети» за 2015 г. [Электронный ресурс] / ПАО «Россети» - Режим доступа: http://www.rustocks.com/put.phtml/MRKH_2015_RUS.pdf, </w:t>
      </w:r>
      <w:r w:rsidRPr="00CF77E1">
        <w:rPr>
          <w:rFonts w:ascii="Times New Roman" w:hAnsi="Times New Roman" w:cs="Times New Roman"/>
          <w:sz w:val="24"/>
          <w:szCs w:val="24"/>
        </w:rPr>
        <w:lastRenderedPageBreak/>
        <w:t>свободный - Загл. с экрана.</w:t>
      </w:r>
    </w:p>
    <w:p w:rsidR="00BE252A" w:rsidRPr="00B160CD" w:rsidRDefault="00BE252A" w:rsidP="00BE252A">
      <w:pPr>
        <w:pStyle w:val="ConsPlusNormal"/>
        <w:ind w:firstLine="709"/>
        <w:jc w:val="both"/>
        <w:rPr>
          <w:rFonts w:ascii="Times New Roman" w:hAnsi="Times New Roman" w:cs="Times New Roman"/>
          <w:sz w:val="24"/>
          <w:szCs w:val="24"/>
        </w:rPr>
      </w:pPr>
      <w:r w:rsidRPr="00CF77E1">
        <w:rPr>
          <w:rFonts w:ascii="Times New Roman" w:hAnsi="Times New Roman" w:cs="Times New Roman"/>
          <w:sz w:val="24"/>
          <w:szCs w:val="24"/>
        </w:rPr>
        <w:t xml:space="preserve">4. </w:t>
      </w:r>
      <w:r w:rsidR="00CF77E1" w:rsidRPr="00CF77E1">
        <w:rPr>
          <w:rFonts w:ascii="Times New Roman" w:hAnsi="Times New Roman" w:cs="Times New Roman"/>
          <w:bCs/>
          <w:sz w:val="24"/>
          <w:szCs w:val="24"/>
        </w:rPr>
        <w:t xml:space="preserve">О ценообразовании </w:t>
      </w:r>
      <w:r w:rsidR="00CF77E1">
        <w:rPr>
          <w:rFonts w:ascii="Times New Roman" w:hAnsi="Times New Roman" w:cs="Times New Roman"/>
          <w:bCs/>
          <w:sz w:val="24"/>
          <w:szCs w:val="24"/>
        </w:rPr>
        <w:t>в</w:t>
      </w:r>
      <w:r w:rsidR="00CF77E1" w:rsidRPr="00CF77E1">
        <w:rPr>
          <w:rFonts w:ascii="Times New Roman" w:hAnsi="Times New Roman" w:cs="Times New Roman"/>
          <w:bCs/>
          <w:sz w:val="24"/>
          <w:szCs w:val="24"/>
        </w:rPr>
        <w:t xml:space="preserve"> области регулируемых цен (тарифов) в электроэнергетике</w:t>
      </w:r>
      <w:r w:rsidR="00CF77E1" w:rsidRPr="00CF77E1">
        <w:rPr>
          <w:rFonts w:ascii="Times New Roman" w:hAnsi="Times New Roman" w:cs="Times New Roman"/>
          <w:sz w:val="24"/>
          <w:szCs w:val="24"/>
        </w:rPr>
        <w:t xml:space="preserve"> [Электронный ресурс] / П</w:t>
      </w:r>
      <w:r w:rsidRPr="00CF77E1">
        <w:rPr>
          <w:rFonts w:ascii="Times New Roman" w:hAnsi="Times New Roman" w:cs="Times New Roman"/>
          <w:sz w:val="24"/>
          <w:szCs w:val="24"/>
        </w:rPr>
        <w:t>остановление Правительства Российской Федерации о</w:t>
      </w:r>
      <w:r w:rsidR="00CF77E1">
        <w:rPr>
          <w:rFonts w:ascii="Times New Roman" w:hAnsi="Times New Roman" w:cs="Times New Roman"/>
          <w:sz w:val="24"/>
          <w:szCs w:val="24"/>
        </w:rPr>
        <w:t xml:space="preserve">т 29.12.2011 № 1178 (ред. от 30.06.2018) </w:t>
      </w:r>
      <w:r w:rsidRPr="00CF77E1">
        <w:rPr>
          <w:rFonts w:ascii="Times New Roman" w:hAnsi="Times New Roman" w:cs="Times New Roman"/>
          <w:sz w:val="24"/>
          <w:szCs w:val="24"/>
        </w:rPr>
        <w:t>- Режим доступа: http://www.consultant.ru/document/cons_doc_LAW_170421, свободный - Загл. с экрана.</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5. Григорьев, А. В. Технологическое присоединение к сетям: реформа продолжается [Текст] / А. В. Григорьев, Е. Н. Рудаков, А. М. Фадеев // Энергорынок. - 2015. - № 6.</w:t>
      </w:r>
    </w:p>
    <w:p w:rsidR="00BE252A" w:rsidRPr="00B160CD"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6</w:t>
      </w:r>
      <w:r w:rsidR="00D37426">
        <w:rPr>
          <w:rFonts w:ascii="Times New Roman" w:hAnsi="Times New Roman" w:cs="Times New Roman"/>
          <w:sz w:val="24"/>
          <w:szCs w:val="24"/>
        </w:rPr>
        <w:t xml:space="preserve">. </w:t>
      </w:r>
      <w:r w:rsidRPr="00B160CD">
        <w:rPr>
          <w:rFonts w:ascii="Times New Roman" w:hAnsi="Times New Roman" w:cs="Times New Roman"/>
          <w:sz w:val="24"/>
          <w:szCs w:val="24"/>
        </w:rPr>
        <w:t>Репетюк, С.В. Сравнительный анализ практики технологического присоединения потребителей к электрическим сетям в России и зарубежных странах [Текст]: научно-исследовательская работа, выполненная в соответствии с Государственным заданием РАНХиГС при Президенте Российской Федерации / С. В. Репетюк, Б. И. Файн, О. О. Мозговая, О. В. Темная; Институт экономики естественных монополий. - Москва, 2016. - 56 с.</w:t>
      </w:r>
    </w:p>
    <w:p w:rsidR="00BE252A" w:rsidRPr="00A77F7B" w:rsidRDefault="00BE252A" w:rsidP="00BE252A">
      <w:pPr>
        <w:pStyle w:val="ConsPlusNormal"/>
        <w:ind w:firstLine="709"/>
        <w:jc w:val="both"/>
        <w:rPr>
          <w:rFonts w:ascii="Times New Roman" w:hAnsi="Times New Roman" w:cs="Times New Roman"/>
          <w:sz w:val="24"/>
          <w:szCs w:val="24"/>
        </w:rPr>
      </w:pPr>
      <w:r w:rsidRPr="00B160CD">
        <w:rPr>
          <w:rFonts w:ascii="Times New Roman" w:hAnsi="Times New Roman" w:cs="Times New Roman"/>
          <w:sz w:val="24"/>
          <w:szCs w:val="24"/>
        </w:rPr>
        <w:t>7. Суюнчев, М. М. Межрегиональная дифференциация тарифов на электрическую энергию в Российской Федерации [Текст] / М. М. Суюнчев,  С. В. Репетюк, Б. И. Файн, О. О. Мозговая и др. // Экономическая политика. - 2014. - № 1.</w:t>
      </w:r>
    </w:p>
    <w:p w:rsidR="00BE252A" w:rsidRDefault="00BE252A" w:rsidP="00312EA1">
      <w:pPr>
        <w:pStyle w:val="af0"/>
        <w:spacing w:after="0"/>
        <w:ind w:firstLine="709"/>
        <w:jc w:val="both"/>
        <w:rPr>
          <w:sz w:val="24"/>
          <w:szCs w:val="24"/>
        </w:rPr>
      </w:pPr>
    </w:p>
    <w:p w:rsidR="00194C50" w:rsidRDefault="00BC19D9" w:rsidP="00DF655C">
      <w:pPr>
        <w:pStyle w:val="af4"/>
        <w:tabs>
          <w:tab w:val="left" w:pos="0"/>
        </w:tabs>
        <w:jc w:val="both"/>
        <w:rPr>
          <w:rFonts w:ascii="Times New Roman" w:eastAsia="MS Mincho" w:hAnsi="Times New Roman"/>
          <w:bCs/>
          <w:sz w:val="22"/>
          <w:szCs w:val="24"/>
        </w:rPr>
      </w:pPr>
      <w:r>
        <w:rPr>
          <w:rFonts w:ascii="Times New Roman" w:eastAsia="MS Mincho" w:hAnsi="Times New Roman"/>
          <w:b/>
          <w:bCs/>
          <w:sz w:val="22"/>
          <w:szCs w:val="24"/>
        </w:rPr>
        <w:t>Куликова Лидия Васльевна</w:t>
      </w:r>
      <w:r w:rsidR="00194C50" w:rsidRPr="00194C50">
        <w:rPr>
          <w:rFonts w:ascii="Times New Roman" w:eastAsia="MS Mincho" w:hAnsi="Times New Roman"/>
          <w:b/>
          <w:bCs/>
          <w:sz w:val="22"/>
          <w:szCs w:val="24"/>
        </w:rPr>
        <w:t xml:space="preserve"> – </w:t>
      </w:r>
      <w:r w:rsidR="00194C50" w:rsidRPr="00194C50">
        <w:rPr>
          <w:rFonts w:ascii="Times New Roman" w:eastAsia="MS Mincho" w:hAnsi="Times New Roman"/>
          <w:bCs/>
          <w:sz w:val="22"/>
          <w:szCs w:val="24"/>
        </w:rPr>
        <w:t>д</w:t>
      </w:r>
      <w:r w:rsidR="00194C50">
        <w:rPr>
          <w:rFonts w:ascii="Times New Roman" w:eastAsia="MS Mincho" w:hAnsi="Times New Roman"/>
          <w:bCs/>
          <w:sz w:val="22"/>
          <w:szCs w:val="24"/>
        </w:rPr>
        <w:t>-</w:t>
      </w:r>
      <w:r w:rsidR="00194C50" w:rsidRPr="00194C50">
        <w:rPr>
          <w:rFonts w:ascii="Times New Roman" w:eastAsia="MS Mincho" w:hAnsi="Times New Roman"/>
          <w:bCs/>
          <w:sz w:val="22"/>
          <w:szCs w:val="24"/>
        </w:rPr>
        <w:t>р техн</w:t>
      </w:r>
      <w:r w:rsidR="00194C50">
        <w:rPr>
          <w:rFonts w:ascii="Times New Roman" w:eastAsia="MS Mincho" w:hAnsi="Times New Roman"/>
          <w:bCs/>
          <w:sz w:val="22"/>
          <w:szCs w:val="24"/>
        </w:rPr>
        <w:t>.</w:t>
      </w:r>
      <w:r w:rsidR="00194C50" w:rsidRPr="00194C50">
        <w:rPr>
          <w:rFonts w:ascii="Times New Roman" w:eastAsia="MS Mincho" w:hAnsi="Times New Roman"/>
          <w:bCs/>
          <w:sz w:val="22"/>
          <w:szCs w:val="24"/>
        </w:rPr>
        <w:t xml:space="preserve"> наук, профессор</w:t>
      </w:r>
      <w:r w:rsidR="00194C50">
        <w:rPr>
          <w:rFonts w:ascii="Times New Roman" w:eastAsia="MS Mincho" w:hAnsi="Times New Roman"/>
          <w:bCs/>
          <w:sz w:val="22"/>
          <w:szCs w:val="24"/>
        </w:rPr>
        <w:t xml:space="preserve">, </w:t>
      </w:r>
      <w:r w:rsidR="003509B1" w:rsidRPr="00194C50">
        <w:rPr>
          <w:rFonts w:ascii="Times New Roman" w:eastAsia="MS Mincho" w:hAnsi="Times New Roman"/>
          <w:bCs/>
          <w:sz w:val="22"/>
          <w:szCs w:val="24"/>
        </w:rPr>
        <w:t>профессор</w:t>
      </w:r>
      <w:r w:rsidR="003509B1" w:rsidRPr="003509B1">
        <w:rPr>
          <w:rFonts w:ascii="Times New Roman" w:eastAsia="MS Mincho" w:hAnsi="Times New Roman"/>
          <w:bCs/>
          <w:sz w:val="22"/>
          <w:szCs w:val="24"/>
        </w:rPr>
        <w:t xml:space="preserve"> кафедр</w:t>
      </w:r>
      <w:r w:rsidR="003509B1">
        <w:rPr>
          <w:rFonts w:ascii="Times New Roman" w:eastAsia="MS Mincho" w:hAnsi="Times New Roman"/>
          <w:bCs/>
          <w:sz w:val="22"/>
          <w:szCs w:val="24"/>
        </w:rPr>
        <w:t>ы</w:t>
      </w:r>
      <w:r w:rsidR="003509B1" w:rsidRPr="003509B1">
        <w:rPr>
          <w:rFonts w:ascii="Times New Roman" w:eastAsia="MS Mincho" w:hAnsi="Times New Roman"/>
          <w:bCs/>
          <w:sz w:val="22"/>
          <w:szCs w:val="24"/>
        </w:rPr>
        <w:t xml:space="preserve"> «Электрификация производства и </w:t>
      </w:r>
      <w:r w:rsidR="003509B1" w:rsidRPr="00BC19D9">
        <w:rPr>
          <w:rFonts w:ascii="Times New Roman" w:eastAsia="MS Mincho" w:hAnsi="Times New Roman"/>
          <w:bCs/>
          <w:color w:val="000000" w:themeColor="text1"/>
          <w:sz w:val="24"/>
          <w:szCs w:val="24"/>
        </w:rPr>
        <w:t xml:space="preserve">быта» ФГБОУ ВО «Алтайский государственный технический университет им. И.И. Ползунова», </w:t>
      </w:r>
      <w:r w:rsidRPr="00BC19D9">
        <w:rPr>
          <w:rFonts w:ascii="Times New Roman" w:hAnsi="Times New Roman"/>
          <w:color w:val="000000" w:themeColor="text1"/>
          <w:sz w:val="24"/>
          <w:szCs w:val="24"/>
          <w:shd w:val="clear" w:color="auto" w:fill="FFFFFF"/>
        </w:rPr>
        <w:t>liliavaskul@gmail.com</w:t>
      </w:r>
      <w:r w:rsidR="00CD531A" w:rsidRPr="00BC19D9">
        <w:rPr>
          <w:rFonts w:ascii="Times New Roman" w:eastAsia="MS Mincho" w:hAnsi="Times New Roman"/>
          <w:bCs/>
          <w:color w:val="000000" w:themeColor="text1"/>
          <w:sz w:val="24"/>
          <w:szCs w:val="24"/>
        </w:rPr>
        <w:t>, тел</w:t>
      </w:r>
      <w:r w:rsidR="00CD531A">
        <w:rPr>
          <w:rFonts w:ascii="Times New Roman" w:eastAsia="MS Mincho" w:hAnsi="Times New Roman"/>
          <w:bCs/>
          <w:sz w:val="22"/>
          <w:szCs w:val="24"/>
        </w:rPr>
        <w:t>. +7 (3852)</w:t>
      </w:r>
      <w:r w:rsidR="003509B1">
        <w:rPr>
          <w:rFonts w:ascii="Times New Roman" w:eastAsia="MS Mincho" w:hAnsi="Times New Roman"/>
          <w:bCs/>
          <w:sz w:val="22"/>
          <w:szCs w:val="24"/>
        </w:rPr>
        <w:t xml:space="preserve"> </w:t>
      </w:r>
      <w:r w:rsidR="00CD531A">
        <w:rPr>
          <w:rFonts w:ascii="Times New Roman" w:eastAsia="MS Mincho" w:hAnsi="Times New Roman"/>
          <w:bCs/>
          <w:sz w:val="22"/>
          <w:szCs w:val="24"/>
        </w:rPr>
        <w:t xml:space="preserve">36-71-29. </w:t>
      </w:r>
    </w:p>
    <w:p w:rsidR="00CD531A" w:rsidRPr="00730DB7" w:rsidRDefault="00CD531A" w:rsidP="00DF655C">
      <w:pPr>
        <w:pStyle w:val="af4"/>
        <w:tabs>
          <w:tab w:val="left" w:pos="0"/>
        </w:tabs>
        <w:jc w:val="both"/>
        <w:rPr>
          <w:rFonts w:ascii="Times New Roman" w:eastAsia="MS Mincho" w:hAnsi="Times New Roman"/>
          <w:bCs/>
          <w:sz w:val="22"/>
          <w:szCs w:val="24"/>
          <w:lang w:val="en-US"/>
        </w:rPr>
      </w:pPr>
      <w:r w:rsidRPr="00CD531A">
        <w:rPr>
          <w:rFonts w:ascii="Times New Roman" w:eastAsia="MS Mincho" w:hAnsi="Times New Roman"/>
          <w:b/>
          <w:bCs/>
          <w:sz w:val="22"/>
          <w:szCs w:val="24"/>
        </w:rPr>
        <w:t>М</w:t>
      </w:r>
      <w:r w:rsidR="00BC19D9">
        <w:rPr>
          <w:rFonts w:ascii="Times New Roman" w:eastAsia="MS Mincho" w:hAnsi="Times New Roman"/>
          <w:b/>
          <w:bCs/>
          <w:sz w:val="22"/>
          <w:szCs w:val="24"/>
        </w:rPr>
        <w:t>ельников Владимир Алексеевич</w:t>
      </w:r>
      <w:r w:rsidRPr="00194C50">
        <w:rPr>
          <w:rFonts w:ascii="Times New Roman" w:eastAsia="MS Mincho" w:hAnsi="Times New Roman"/>
          <w:b/>
          <w:bCs/>
          <w:sz w:val="22"/>
          <w:szCs w:val="24"/>
        </w:rPr>
        <w:t xml:space="preserve"> – </w:t>
      </w:r>
      <w:r w:rsidR="00BC19D9">
        <w:rPr>
          <w:rFonts w:ascii="Times New Roman" w:eastAsia="MS Mincho" w:hAnsi="Times New Roman"/>
          <w:bCs/>
          <w:sz w:val="22"/>
          <w:szCs w:val="24"/>
        </w:rPr>
        <w:t xml:space="preserve">магистрант </w:t>
      </w:r>
      <w:r w:rsidR="00BC19D9" w:rsidRPr="003509B1">
        <w:rPr>
          <w:rFonts w:ascii="Times New Roman" w:eastAsia="MS Mincho" w:hAnsi="Times New Roman"/>
          <w:bCs/>
          <w:sz w:val="22"/>
          <w:szCs w:val="24"/>
        </w:rPr>
        <w:t>кафедр</w:t>
      </w:r>
      <w:r w:rsidR="00BC19D9">
        <w:rPr>
          <w:rFonts w:ascii="Times New Roman" w:eastAsia="MS Mincho" w:hAnsi="Times New Roman"/>
          <w:bCs/>
          <w:sz w:val="22"/>
          <w:szCs w:val="24"/>
        </w:rPr>
        <w:t>ы</w:t>
      </w:r>
      <w:r w:rsidR="00BC19D9" w:rsidRPr="003509B1">
        <w:rPr>
          <w:rFonts w:ascii="Times New Roman" w:eastAsia="MS Mincho" w:hAnsi="Times New Roman"/>
          <w:bCs/>
          <w:sz w:val="22"/>
          <w:szCs w:val="24"/>
        </w:rPr>
        <w:t xml:space="preserve"> «Электрификация производства и быта»</w:t>
      </w:r>
      <w:r w:rsidR="00BC19D9">
        <w:rPr>
          <w:rFonts w:ascii="Times New Roman" w:eastAsia="MS Mincho" w:hAnsi="Times New Roman"/>
          <w:bCs/>
          <w:sz w:val="22"/>
          <w:szCs w:val="24"/>
        </w:rPr>
        <w:t xml:space="preserve"> </w:t>
      </w:r>
      <w:r w:rsidR="00BC19D9" w:rsidRPr="00BC19D9">
        <w:rPr>
          <w:rFonts w:ascii="Times New Roman" w:eastAsia="MS Mincho" w:hAnsi="Times New Roman"/>
          <w:bCs/>
          <w:color w:val="000000" w:themeColor="text1"/>
          <w:sz w:val="24"/>
          <w:szCs w:val="24"/>
        </w:rPr>
        <w:t>ФГБОУ ВО «Алтайский государственный технический университет им. И</w:t>
      </w:r>
      <w:r w:rsidR="00BC19D9" w:rsidRPr="00730DB7">
        <w:rPr>
          <w:rFonts w:ascii="Times New Roman" w:eastAsia="MS Mincho" w:hAnsi="Times New Roman"/>
          <w:bCs/>
          <w:color w:val="000000" w:themeColor="text1"/>
          <w:sz w:val="24"/>
          <w:szCs w:val="24"/>
          <w:lang w:val="en-US"/>
        </w:rPr>
        <w:t>.</w:t>
      </w:r>
      <w:r w:rsidR="00BC19D9" w:rsidRPr="00BC19D9">
        <w:rPr>
          <w:rFonts w:ascii="Times New Roman" w:eastAsia="MS Mincho" w:hAnsi="Times New Roman"/>
          <w:bCs/>
          <w:color w:val="000000" w:themeColor="text1"/>
          <w:sz w:val="24"/>
          <w:szCs w:val="24"/>
        </w:rPr>
        <w:t>И</w:t>
      </w:r>
      <w:r w:rsidR="00BC19D9" w:rsidRPr="00730DB7">
        <w:rPr>
          <w:rFonts w:ascii="Times New Roman" w:eastAsia="MS Mincho" w:hAnsi="Times New Roman"/>
          <w:bCs/>
          <w:color w:val="000000" w:themeColor="text1"/>
          <w:sz w:val="24"/>
          <w:szCs w:val="24"/>
          <w:lang w:val="en-US"/>
        </w:rPr>
        <w:t>. </w:t>
      </w:r>
      <w:r w:rsidR="00BC19D9" w:rsidRPr="00BC19D9">
        <w:rPr>
          <w:rFonts w:ascii="Times New Roman" w:eastAsia="MS Mincho" w:hAnsi="Times New Roman"/>
          <w:bCs/>
          <w:color w:val="000000" w:themeColor="text1"/>
          <w:sz w:val="24"/>
          <w:szCs w:val="24"/>
        </w:rPr>
        <w:t>Ползунова</w:t>
      </w:r>
      <w:r w:rsidR="00BC19D9" w:rsidRPr="00730DB7">
        <w:rPr>
          <w:rFonts w:ascii="Times New Roman" w:eastAsia="MS Mincho" w:hAnsi="Times New Roman"/>
          <w:bCs/>
          <w:color w:val="000000" w:themeColor="text1"/>
          <w:sz w:val="24"/>
          <w:szCs w:val="24"/>
          <w:lang w:val="en-US"/>
        </w:rPr>
        <w:t>»</w:t>
      </w:r>
      <w:r w:rsidRPr="00730DB7">
        <w:rPr>
          <w:rFonts w:ascii="Times New Roman" w:eastAsia="MS Mincho" w:hAnsi="Times New Roman"/>
          <w:bCs/>
          <w:color w:val="000000" w:themeColor="text1"/>
          <w:sz w:val="24"/>
          <w:szCs w:val="24"/>
          <w:lang w:val="en-US"/>
        </w:rPr>
        <w:t xml:space="preserve">, </w:t>
      </w:r>
      <w:r w:rsidR="00BC19D9" w:rsidRPr="00730DB7">
        <w:rPr>
          <w:rFonts w:ascii="Times New Roman" w:eastAsia="MS Mincho" w:hAnsi="Times New Roman"/>
          <w:bCs/>
          <w:color w:val="000000" w:themeColor="text1"/>
          <w:sz w:val="24"/>
          <w:szCs w:val="24"/>
          <w:lang w:val="en-US"/>
        </w:rPr>
        <w:t xml:space="preserve"> </w:t>
      </w:r>
      <w:hyperlink r:id="rId11" w:tgtFrame="_blank" w:history="1">
        <w:r w:rsidR="00BC19D9" w:rsidRPr="00730DB7">
          <w:rPr>
            <w:rStyle w:val="aa"/>
            <w:rFonts w:ascii="Times New Roman" w:eastAsiaTheme="majorEastAsia" w:hAnsi="Times New Roman"/>
            <w:color w:val="000000" w:themeColor="text1"/>
            <w:sz w:val="24"/>
            <w:szCs w:val="24"/>
            <w:u w:val="none"/>
            <w:shd w:val="clear" w:color="auto" w:fill="FFFFFF"/>
            <w:lang w:val="en-US"/>
          </w:rPr>
          <w:t>melnikov_vladimir94@mail.ru</w:t>
        </w:r>
      </w:hyperlink>
      <w:r w:rsidRPr="00730DB7">
        <w:rPr>
          <w:rFonts w:ascii="Times New Roman" w:eastAsia="MS Mincho" w:hAnsi="Times New Roman"/>
          <w:bCs/>
          <w:color w:val="000000" w:themeColor="text1"/>
          <w:sz w:val="24"/>
          <w:szCs w:val="24"/>
          <w:lang w:val="en-US"/>
        </w:rPr>
        <w:t xml:space="preserve">, </w:t>
      </w:r>
      <w:r w:rsidRPr="00BC19D9">
        <w:rPr>
          <w:rFonts w:ascii="Times New Roman" w:eastAsia="MS Mincho" w:hAnsi="Times New Roman"/>
          <w:bCs/>
          <w:color w:val="000000" w:themeColor="text1"/>
          <w:sz w:val="24"/>
          <w:szCs w:val="24"/>
        </w:rPr>
        <w:t>тел</w:t>
      </w:r>
      <w:r w:rsidRPr="00730DB7">
        <w:rPr>
          <w:rFonts w:ascii="Times New Roman" w:eastAsia="MS Mincho" w:hAnsi="Times New Roman"/>
          <w:bCs/>
          <w:color w:val="000000" w:themeColor="text1"/>
          <w:sz w:val="24"/>
          <w:szCs w:val="24"/>
          <w:lang w:val="en-US"/>
        </w:rPr>
        <w:t>. +7 (</w:t>
      </w:r>
      <w:r w:rsidR="00730DB7" w:rsidRPr="00730DB7">
        <w:rPr>
          <w:rFonts w:ascii="Times New Roman" w:eastAsia="MS Mincho" w:hAnsi="Times New Roman"/>
          <w:bCs/>
          <w:sz w:val="22"/>
          <w:szCs w:val="24"/>
          <w:lang w:val="en-US"/>
        </w:rPr>
        <w:t>3852) 36-71-29.</w:t>
      </w:r>
    </w:p>
    <w:p w:rsidR="00CD531A" w:rsidRPr="006E63C2" w:rsidRDefault="00730DB7" w:rsidP="00730DB7">
      <w:pPr>
        <w:pStyle w:val="af4"/>
        <w:tabs>
          <w:tab w:val="left" w:pos="0"/>
        </w:tabs>
        <w:jc w:val="both"/>
        <w:rPr>
          <w:rFonts w:ascii="Times New Roman" w:eastAsia="MS Mincho" w:hAnsi="Times New Roman"/>
          <w:sz w:val="24"/>
          <w:szCs w:val="24"/>
          <w:lang w:val="en-US"/>
        </w:rPr>
      </w:pPr>
      <w:r w:rsidRPr="006E63C2">
        <w:rPr>
          <w:rFonts w:ascii="Times New Roman" w:eastAsia="MS Mincho" w:hAnsi="Times New Roman"/>
          <w:sz w:val="24"/>
          <w:szCs w:val="24"/>
          <w:lang w:val="en-US"/>
        </w:rPr>
        <w:t>___________________________________________________________________________</w:t>
      </w:r>
    </w:p>
    <w:p w:rsidR="00DF655C" w:rsidRPr="00BE252A" w:rsidRDefault="00A515C6" w:rsidP="00DF655C">
      <w:pPr>
        <w:pStyle w:val="2"/>
        <w:spacing w:before="0" w:line="240" w:lineRule="auto"/>
        <w:jc w:val="center"/>
        <w:rPr>
          <w:rFonts w:ascii="Times New Roman" w:hAnsi="Times New Roman" w:cs="Times New Roman"/>
          <w:color w:val="auto"/>
          <w:sz w:val="24"/>
          <w:szCs w:val="24"/>
          <w:lang w:val="en-US"/>
        </w:rPr>
      </w:pPr>
      <w:r w:rsidRPr="00BE252A">
        <w:rPr>
          <w:rFonts w:ascii="Times New Roman" w:hAnsi="Times New Roman" w:cs="Times New Roman"/>
          <w:color w:val="auto"/>
          <w:sz w:val="24"/>
          <w:szCs w:val="24"/>
          <w:lang w:val="en-US"/>
        </w:rPr>
        <w:t xml:space="preserve">DANGER ASSESSMENT OF COMBINED EXPOSURE </w:t>
      </w:r>
    </w:p>
    <w:p w:rsidR="00DF655C" w:rsidRPr="00BE252A" w:rsidRDefault="00A515C6" w:rsidP="00DF655C">
      <w:pPr>
        <w:pStyle w:val="2"/>
        <w:spacing w:before="0" w:line="240" w:lineRule="auto"/>
        <w:jc w:val="center"/>
        <w:rPr>
          <w:rFonts w:ascii="Times New Roman" w:hAnsi="Times New Roman" w:cs="Times New Roman"/>
          <w:color w:val="auto"/>
          <w:sz w:val="24"/>
          <w:szCs w:val="24"/>
          <w:lang w:val="en-US"/>
        </w:rPr>
      </w:pPr>
      <w:r w:rsidRPr="00BE252A">
        <w:rPr>
          <w:rFonts w:ascii="Times New Roman" w:hAnsi="Times New Roman" w:cs="Times New Roman"/>
          <w:color w:val="auto"/>
          <w:sz w:val="24"/>
          <w:szCs w:val="24"/>
          <w:lang w:val="en-US"/>
        </w:rPr>
        <w:t>TO ELECTROMAGNETIC RADIATION</w:t>
      </w:r>
    </w:p>
    <w:p w:rsidR="00DF655C" w:rsidRPr="00BE252A" w:rsidRDefault="00DF655C" w:rsidP="00DF655C">
      <w:pPr>
        <w:ind w:firstLine="709"/>
        <w:jc w:val="both"/>
        <w:rPr>
          <w:sz w:val="24"/>
          <w:szCs w:val="24"/>
          <w:highlight w:val="yellow"/>
          <w:lang w:val="en-US"/>
        </w:rPr>
      </w:pPr>
    </w:p>
    <w:p w:rsidR="00DF655C" w:rsidRPr="00730DB7" w:rsidRDefault="00BC19D9" w:rsidP="00DF655C">
      <w:pPr>
        <w:jc w:val="right"/>
        <w:rPr>
          <w:b/>
          <w:sz w:val="24"/>
          <w:szCs w:val="24"/>
          <w:lang w:val="en-US"/>
        </w:rPr>
      </w:pPr>
      <w:r w:rsidRPr="00730DB7">
        <w:rPr>
          <w:b/>
          <w:sz w:val="24"/>
          <w:szCs w:val="24"/>
          <w:lang w:val="en-GB"/>
        </w:rPr>
        <w:t>Kulikova L.V., Melnikov V.A.</w:t>
      </w:r>
    </w:p>
    <w:p w:rsidR="00DF655C" w:rsidRPr="00BE252A" w:rsidRDefault="00025069" w:rsidP="00DF655C">
      <w:pPr>
        <w:pStyle w:val="11"/>
        <w:spacing w:line="240" w:lineRule="auto"/>
        <w:ind w:firstLine="0"/>
        <w:jc w:val="right"/>
        <w:rPr>
          <w:i/>
          <w:sz w:val="24"/>
          <w:szCs w:val="24"/>
          <w:lang w:val="en-US"/>
        </w:rPr>
      </w:pPr>
      <w:r w:rsidRPr="00BE252A">
        <w:rPr>
          <w:bCs/>
          <w:i/>
          <w:sz w:val="24"/>
          <w:szCs w:val="24"/>
          <w:lang w:val="en-US"/>
        </w:rPr>
        <w:t>Russia,</w:t>
      </w:r>
      <w:r w:rsidRPr="00025069">
        <w:rPr>
          <w:bCs/>
          <w:i/>
          <w:sz w:val="24"/>
          <w:szCs w:val="24"/>
          <w:lang w:val="en-US"/>
        </w:rPr>
        <w:t xml:space="preserve"> </w:t>
      </w:r>
      <w:r w:rsidRPr="00BE252A">
        <w:rPr>
          <w:bCs/>
          <w:i/>
          <w:sz w:val="24"/>
          <w:szCs w:val="24"/>
          <w:lang w:val="en-US"/>
        </w:rPr>
        <w:t>Barnaul</w:t>
      </w:r>
      <w:r w:rsidR="00DF655C" w:rsidRPr="00BE252A">
        <w:rPr>
          <w:bCs/>
          <w:i/>
          <w:sz w:val="24"/>
          <w:szCs w:val="24"/>
          <w:lang w:val="en-US"/>
        </w:rPr>
        <w:t xml:space="preserve">, </w:t>
      </w:r>
      <w:r w:rsidRPr="00BE252A">
        <w:rPr>
          <w:i/>
          <w:sz w:val="24"/>
          <w:szCs w:val="24"/>
          <w:lang w:val="en-US"/>
        </w:rPr>
        <w:t>Polzunov Altai State Technical University</w:t>
      </w:r>
    </w:p>
    <w:p w:rsidR="00DF655C" w:rsidRPr="00BE252A" w:rsidRDefault="00DF655C" w:rsidP="00DF655C">
      <w:pPr>
        <w:pStyle w:val="11"/>
        <w:spacing w:line="240" w:lineRule="auto"/>
        <w:jc w:val="right"/>
        <w:rPr>
          <w:bCs/>
          <w:i/>
          <w:sz w:val="24"/>
          <w:szCs w:val="24"/>
          <w:highlight w:val="yellow"/>
          <w:lang w:val="en-US"/>
        </w:rPr>
      </w:pPr>
    </w:p>
    <w:p w:rsidR="00DF655C" w:rsidRPr="00BE252A" w:rsidRDefault="00872097" w:rsidP="00DF655C">
      <w:pPr>
        <w:pStyle w:val="af0"/>
        <w:spacing w:after="0"/>
        <w:ind w:firstLine="709"/>
        <w:jc w:val="both"/>
        <w:rPr>
          <w:i/>
          <w:noProof/>
          <w:lang w:val="en-US"/>
        </w:rPr>
      </w:pPr>
      <w:r w:rsidRPr="00AB483E">
        <w:rPr>
          <w:i/>
          <w:noProof/>
          <w:lang w:val="en-US"/>
        </w:rPr>
        <w:t>Made a critical analysis of the formation of the fees for connection to electrical networks consumers. Identifies the main problems arising from the formation of connection fees and propose approaches to address them</w:t>
      </w:r>
      <w:r w:rsidR="004043EA" w:rsidRPr="00BE252A">
        <w:rPr>
          <w:i/>
          <w:noProof/>
          <w:lang w:val="en-US"/>
        </w:rPr>
        <w:t>.</w:t>
      </w:r>
    </w:p>
    <w:p w:rsidR="00DF655C" w:rsidRPr="00BE252A" w:rsidRDefault="004043EA" w:rsidP="00DF655C">
      <w:pPr>
        <w:ind w:firstLine="709"/>
        <w:jc w:val="both"/>
        <w:rPr>
          <w:i/>
          <w:lang w:val="en-US"/>
        </w:rPr>
      </w:pPr>
      <w:r w:rsidRPr="001C4CDF">
        <w:rPr>
          <w:i/>
          <w:lang w:val="en-GB"/>
        </w:rPr>
        <w:t>Keywords</w:t>
      </w:r>
      <w:r w:rsidR="00DF655C" w:rsidRPr="00BE252A">
        <w:rPr>
          <w:bCs/>
          <w:i/>
          <w:lang w:val="en-US"/>
        </w:rPr>
        <w:t>:</w:t>
      </w:r>
      <w:r w:rsidR="00DF655C" w:rsidRPr="00BE252A">
        <w:rPr>
          <w:i/>
          <w:lang w:val="en-US"/>
        </w:rPr>
        <w:t xml:space="preserve"> </w:t>
      </w:r>
      <w:r w:rsidR="00872097" w:rsidRPr="00AB483E">
        <w:rPr>
          <w:rFonts w:eastAsia="MS Mincho"/>
          <w:i/>
          <w:lang w:val="en-US"/>
        </w:rPr>
        <w:t>connection to electrical networks, tariff policy</w:t>
      </w:r>
      <w:r w:rsidR="00DF655C" w:rsidRPr="00BE252A">
        <w:rPr>
          <w:i/>
          <w:lang w:val="en-US"/>
        </w:rPr>
        <w:t>.</w:t>
      </w:r>
    </w:p>
    <w:p w:rsidR="00DF655C" w:rsidRPr="00BE252A" w:rsidRDefault="00DF655C">
      <w:pPr>
        <w:pStyle w:val="af4"/>
        <w:tabs>
          <w:tab w:val="left" w:pos="0"/>
        </w:tabs>
        <w:ind w:firstLine="709"/>
        <w:jc w:val="both"/>
        <w:rPr>
          <w:rFonts w:ascii="Times New Roman" w:eastAsia="MS Mincho" w:hAnsi="Times New Roman"/>
          <w:sz w:val="22"/>
          <w:szCs w:val="24"/>
          <w:lang w:val="en-US"/>
        </w:rPr>
      </w:pPr>
    </w:p>
    <w:p w:rsidR="00DF655C" w:rsidRPr="00AD1E4B" w:rsidRDefault="006E63C2" w:rsidP="006E63C2">
      <w:pPr>
        <w:jc w:val="center"/>
        <w:rPr>
          <w:sz w:val="22"/>
          <w:szCs w:val="22"/>
        </w:rPr>
      </w:pPr>
      <w:r w:rsidRPr="00AD1E4B">
        <w:rPr>
          <w:sz w:val="22"/>
          <w:szCs w:val="22"/>
          <w:lang w:val="en-US"/>
        </w:rPr>
        <w:t>Bibliography</w:t>
      </w:r>
    </w:p>
    <w:p w:rsidR="009644D7" w:rsidRDefault="009644D7" w:rsidP="006211D3">
      <w:pPr>
        <w:pStyle w:val="af4"/>
        <w:tabs>
          <w:tab w:val="left" w:pos="0"/>
        </w:tabs>
        <w:ind w:firstLine="709"/>
        <w:jc w:val="both"/>
        <w:rPr>
          <w:rFonts w:ascii="Times New Roman" w:hAnsi="Times New Roman"/>
          <w:sz w:val="22"/>
          <w:szCs w:val="28"/>
          <w:lang w:val="en-US"/>
        </w:rPr>
      </w:pPr>
      <w:r w:rsidRPr="009644D7">
        <w:rPr>
          <w:rFonts w:ascii="Times New Roman" w:hAnsi="Times New Roman"/>
          <w:sz w:val="22"/>
          <w:szCs w:val="28"/>
          <w:lang w:val="en-US"/>
        </w:rPr>
        <w:t>1. Guidelines on the definition of fees for connection to electrical networks [electronic resource]/Federal tariffs service order dated September 11, no. 209-e/1-access mode: http://www.consultant.ru/document/ cons_doc_LAW_138</w:t>
      </w:r>
      <w:r w:rsidR="00872097">
        <w:rPr>
          <w:rFonts w:ascii="Times New Roman" w:hAnsi="Times New Roman"/>
          <w:sz w:val="22"/>
          <w:szCs w:val="28"/>
          <w:lang w:val="en-US"/>
        </w:rPr>
        <w:t>396, free-Caps</w:t>
      </w:r>
      <w:r w:rsidRPr="009644D7">
        <w:rPr>
          <w:rFonts w:ascii="Times New Roman" w:hAnsi="Times New Roman"/>
          <w:sz w:val="22"/>
          <w:szCs w:val="28"/>
          <w:lang w:val="en-US"/>
        </w:rPr>
        <w:t>.</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t>2. On approval of the rules for non-discriminatory access to the transmission of electrical energy and provide these services, the rules of non-discriminatory access to operational and management control in electricity generation and provision of these services, The rules of non-discriminatory access to the trading system administrator of wholesale market and provide these services and rules of technological connection hook-up devices consumers of electric energy production facilities electrical energy, as well as objects of grid management, belonging to the network organizations and other persons to electrical networks [text]: Russian Federation Government resolution of 27.12.2004 No. 861 (ed. by 13.08.2018).</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t>3. Annual report of PJSC «Rosseti</w:t>
      </w:r>
      <w:r w:rsidR="00D37426" w:rsidRPr="00D37426">
        <w:rPr>
          <w:rFonts w:ascii="Times New Roman" w:hAnsi="Times New Roman"/>
          <w:sz w:val="22"/>
          <w:szCs w:val="28"/>
          <w:lang w:val="en-US"/>
        </w:rPr>
        <w:t>»</w:t>
      </w:r>
      <w:r>
        <w:rPr>
          <w:rFonts w:ascii="Times New Roman" w:hAnsi="Times New Roman"/>
          <w:sz w:val="22"/>
          <w:szCs w:val="28"/>
          <w:lang w:val="en-US"/>
        </w:rPr>
        <w:t xml:space="preserve"> for 2015 [electronic resource]/by PJSC</w:t>
      </w:r>
      <w:r w:rsidR="00D37426" w:rsidRPr="00D37426">
        <w:rPr>
          <w:rFonts w:ascii="Times New Roman" w:hAnsi="Times New Roman"/>
          <w:sz w:val="22"/>
          <w:szCs w:val="28"/>
          <w:lang w:val="en-US"/>
        </w:rPr>
        <w:t xml:space="preserve"> «</w:t>
      </w:r>
      <w:r>
        <w:rPr>
          <w:rFonts w:ascii="Times New Roman" w:hAnsi="Times New Roman"/>
          <w:sz w:val="22"/>
          <w:szCs w:val="28"/>
          <w:lang w:val="en-US"/>
        </w:rPr>
        <w:t>Rosseti»-access mode: http://www.rustocks.com/put.phtml/MRKH_2015_RUS.pdf, free-Caps. with the screen.</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t xml:space="preserve">4. Pricing in the area of regulated prices (tariffs) in electric power industry [electronic resource]/Decree of the Government of the Russian Federation dated Dec 22nd </w:t>
      </w:r>
      <w:r w:rsidR="00D37426" w:rsidRPr="00D37426">
        <w:rPr>
          <w:rFonts w:ascii="Times New Roman" w:hAnsi="Times New Roman"/>
          <w:sz w:val="22"/>
          <w:szCs w:val="28"/>
          <w:lang w:val="en-US"/>
        </w:rPr>
        <w:t>№</w:t>
      </w:r>
      <w:r>
        <w:rPr>
          <w:rFonts w:ascii="Times New Roman" w:hAnsi="Times New Roman"/>
          <w:sz w:val="22"/>
          <w:szCs w:val="28"/>
          <w:lang w:val="en-US"/>
        </w:rPr>
        <w:t xml:space="preserve"> 1178 (ed. by 30.06.2018)-access mode: http://www.consultant.ru/document/cons_doc_ LAW_17</w:t>
      </w:r>
      <w:r w:rsidR="00D37426">
        <w:rPr>
          <w:rFonts w:ascii="Times New Roman" w:hAnsi="Times New Roman"/>
          <w:sz w:val="22"/>
          <w:szCs w:val="28"/>
          <w:lang w:val="en-US"/>
        </w:rPr>
        <w:t xml:space="preserve"> </w:t>
      </w:r>
      <w:r>
        <w:rPr>
          <w:rFonts w:ascii="Times New Roman" w:hAnsi="Times New Roman"/>
          <w:sz w:val="22"/>
          <w:szCs w:val="28"/>
          <w:lang w:val="en-US"/>
        </w:rPr>
        <w:t>0421, free-Caps.</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lastRenderedPageBreak/>
        <w:t xml:space="preserve">5. Grigoryev, </w:t>
      </w:r>
      <w:r w:rsidR="00D37426">
        <w:rPr>
          <w:rFonts w:ascii="Times New Roman" w:hAnsi="Times New Roman"/>
          <w:sz w:val="22"/>
          <w:szCs w:val="28"/>
          <w:lang w:val="en-US"/>
        </w:rPr>
        <w:t>A</w:t>
      </w:r>
      <w:r>
        <w:rPr>
          <w:rFonts w:ascii="Times New Roman" w:hAnsi="Times New Roman"/>
          <w:sz w:val="22"/>
          <w:szCs w:val="28"/>
          <w:lang w:val="en-US"/>
        </w:rPr>
        <w:t>.</w:t>
      </w:r>
      <w:r w:rsidR="00D37426">
        <w:rPr>
          <w:rFonts w:ascii="Times New Roman" w:hAnsi="Times New Roman"/>
          <w:sz w:val="22"/>
          <w:szCs w:val="28"/>
          <w:lang w:val="en-US"/>
        </w:rPr>
        <w:t>V. C</w:t>
      </w:r>
      <w:r>
        <w:rPr>
          <w:rFonts w:ascii="Times New Roman" w:hAnsi="Times New Roman"/>
          <w:sz w:val="22"/>
          <w:szCs w:val="28"/>
          <w:lang w:val="en-US"/>
        </w:rPr>
        <w:t>onnection to networks: reform continues [text]/</w:t>
      </w:r>
      <w:r w:rsidR="00D37426">
        <w:rPr>
          <w:rFonts w:ascii="Times New Roman" w:hAnsi="Times New Roman"/>
          <w:sz w:val="22"/>
          <w:szCs w:val="28"/>
          <w:lang w:val="en-US"/>
        </w:rPr>
        <w:t xml:space="preserve"> A.V.</w:t>
      </w:r>
      <w:r>
        <w:rPr>
          <w:rFonts w:ascii="Times New Roman" w:hAnsi="Times New Roman"/>
          <w:sz w:val="22"/>
          <w:szCs w:val="28"/>
          <w:lang w:val="en-US"/>
        </w:rPr>
        <w:t xml:space="preserve"> Grigoriev, </w:t>
      </w:r>
      <w:r w:rsidR="00D37426">
        <w:rPr>
          <w:rFonts w:ascii="Times New Roman" w:hAnsi="Times New Roman"/>
          <w:sz w:val="22"/>
          <w:szCs w:val="28"/>
          <w:lang w:val="en-US"/>
        </w:rPr>
        <w:t>E.N.</w:t>
      </w:r>
      <w:r>
        <w:rPr>
          <w:rFonts w:ascii="Times New Roman" w:hAnsi="Times New Roman"/>
          <w:sz w:val="22"/>
          <w:szCs w:val="28"/>
          <w:lang w:val="en-US"/>
        </w:rPr>
        <w:t xml:space="preserve"> Rudakov, </w:t>
      </w:r>
      <w:r w:rsidR="00D37426">
        <w:rPr>
          <w:rFonts w:ascii="Times New Roman" w:hAnsi="Times New Roman"/>
          <w:sz w:val="22"/>
          <w:szCs w:val="28"/>
          <w:lang w:val="en-US"/>
        </w:rPr>
        <w:t>A.M</w:t>
      </w:r>
      <w:r>
        <w:rPr>
          <w:rFonts w:ascii="Times New Roman" w:hAnsi="Times New Roman"/>
          <w:sz w:val="22"/>
          <w:szCs w:val="28"/>
          <w:lang w:val="en-US"/>
        </w:rPr>
        <w:t>.Fadeyev</w:t>
      </w:r>
      <w:r w:rsidR="00D37426">
        <w:rPr>
          <w:rFonts w:ascii="Times New Roman" w:hAnsi="Times New Roman"/>
          <w:sz w:val="22"/>
          <w:szCs w:val="28"/>
          <w:lang w:val="en-US"/>
        </w:rPr>
        <w:t xml:space="preserve"> /</w:t>
      </w:r>
      <w:r>
        <w:rPr>
          <w:rFonts w:ascii="Times New Roman" w:hAnsi="Times New Roman"/>
          <w:sz w:val="22"/>
          <w:szCs w:val="28"/>
          <w:lang w:val="en-US"/>
        </w:rPr>
        <w:t>/</w:t>
      </w:r>
      <w:r w:rsidR="00D37426">
        <w:rPr>
          <w:rFonts w:ascii="Times New Roman" w:hAnsi="Times New Roman"/>
          <w:sz w:val="22"/>
          <w:szCs w:val="28"/>
          <w:lang w:val="en-US"/>
        </w:rPr>
        <w:t xml:space="preserve"> </w:t>
      </w:r>
      <w:r>
        <w:rPr>
          <w:rFonts w:ascii="Times New Roman" w:hAnsi="Times New Roman"/>
          <w:sz w:val="22"/>
          <w:szCs w:val="28"/>
          <w:lang w:val="en-US"/>
        </w:rPr>
        <w:t>Energorynok. -2015. -</w:t>
      </w:r>
      <w:r w:rsidR="00D37426" w:rsidRPr="00D37426">
        <w:rPr>
          <w:rFonts w:ascii="Times New Roman" w:hAnsi="Times New Roman"/>
          <w:sz w:val="22"/>
          <w:szCs w:val="28"/>
          <w:lang w:val="en-US"/>
        </w:rPr>
        <w:t>№</w:t>
      </w:r>
      <w:r>
        <w:rPr>
          <w:rFonts w:ascii="Times New Roman" w:hAnsi="Times New Roman"/>
          <w:sz w:val="22"/>
          <w:szCs w:val="28"/>
          <w:lang w:val="en-US"/>
        </w:rPr>
        <w:t xml:space="preserve"> 6.</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t>6. Repetjuk, S.</w:t>
      </w:r>
      <w:r w:rsidR="00D37426">
        <w:rPr>
          <w:rFonts w:ascii="Times New Roman" w:hAnsi="Times New Roman"/>
          <w:sz w:val="22"/>
          <w:szCs w:val="28"/>
          <w:lang w:val="en-US"/>
        </w:rPr>
        <w:t>V</w:t>
      </w:r>
      <w:r>
        <w:rPr>
          <w:rFonts w:ascii="Times New Roman" w:hAnsi="Times New Roman"/>
          <w:sz w:val="22"/>
          <w:szCs w:val="28"/>
          <w:lang w:val="en-US"/>
        </w:rPr>
        <w:t>.</w:t>
      </w:r>
      <w:r w:rsidR="00D37426">
        <w:rPr>
          <w:rFonts w:ascii="Times New Roman" w:hAnsi="Times New Roman"/>
          <w:sz w:val="22"/>
          <w:szCs w:val="28"/>
          <w:lang w:val="en-US"/>
        </w:rPr>
        <w:t xml:space="preserve"> C</w:t>
      </w:r>
      <w:r>
        <w:rPr>
          <w:rFonts w:ascii="Times New Roman" w:hAnsi="Times New Roman"/>
          <w:sz w:val="22"/>
          <w:szCs w:val="28"/>
          <w:lang w:val="en-US"/>
        </w:rPr>
        <w:t>omparative analysis of the practice of technological connection of consumers to electrical networks in Russia and foreign countries [text]: research work executed in accordance with the State job in Russian The President Of The Russian Federation/</w:t>
      </w:r>
      <w:r w:rsidR="00D37426">
        <w:rPr>
          <w:rFonts w:ascii="Times New Roman" w:hAnsi="Times New Roman"/>
          <w:sz w:val="22"/>
          <w:szCs w:val="28"/>
          <w:lang w:val="en-US"/>
        </w:rPr>
        <w:t xml:space="preserve"> S. V. Repetjuk, B.I. Fain, O.</w:t>
      </w:r>
      <w:r>
        <w:rPr>
          <w:rFonts w:ascii="Times New Roman" w:hAnsi="Times New Roman"/>
          <w:sz w:val="22"/>
          <w:szCs w:val="28"/>
          <w:lang w:val="en-US"/>
        </w:rPr>
        <w:t xml:space="preserve">O. </w:t>
      </w:r>
      <w:r w:rsidR="00D37426">
        <w:rPr>
          <w:rFonts w:ascii="Times New Roman" w:hAnsi="Times New Roman"/>
          <w:sz w:val="22"/>
          <w:szCs w:val="28"/>
          <w:lang w:val="en-US"/>
        </w:rPr>
        <w:t>Mozgovaja, O.V</w:t>
      </w:r>
      <w:r>
        <w:rPr>
          <w:rFonts w:ascii="Times New Roman" w:hAnsi="Times New Roman"/>
          <w:sz w:val="22"/>
          <w:szCs w:val="28"/>
          <w:lang w:val="en-US"/>
        </w:rPr>
        <w:t xml:space="preserve">. </w:t>
      </w:r>
      <w:r w:rsidR="00D37426">
        <w:rPr>
          <w:rFonts w:ascii="Times New Roman" w:hAnsi="Times New Roman"/>
          <w:sz w:val="22"/>
          <w:szCs w:val="28"/>
          <w:lang w:val="en-US"/>
        </w:rPr>
        <w:t>Temnaja</w:t>
      </w:r>
      <w:r>
        <w:rPr>
          <w:rFonts w:ascii="Times New Roman" w:hAnsi="Times New Roman"/>
          <w:sz w:val="22"/>
          <w:szCs w:val="28"/>
          <w:lang w:val="en-US"/>
        </w:rPr>
        <w:t>; Institute of Economics of natural monopolies. Moscow, 2016. -56 s.</w:t>
      </w:r>
    </w:p>
    <w:p w:rsidR="009644D7" w:rsidRDefault="009644D7" w:rsidP="006211D3">
      <w:pPr>
        <w:pStyle w:val="af4"/>
        <w:tabs>
          <w:tab w:val="left" w:pos="0"/>
        </w:tabs>
        <w:ind w:firstLine="709"/>
        <w:jc w:val="both"/>
        <w:rPr>
          <w:rFonts w:ascii="Times New Roman" w:hAnsi="Times New Roman"/>
          <w:sz w:val="22"/>
          <w:szCs w:val="28"/>
          <w:lang w:val="en-US"/>
        </w:rPr>
      </w:pPr>
      <w:r>
        <w:rPr>
          <w:rFonts w:ascii="Times New Roman" w:hAnsi="Times New Roman"/>
          <w:sz w:val="22"/>
          <w:szCs w:val="28"/>
          <w:lang w:val="en-US"/>
        </w:rPr>
        <w:t xml:space="preserve">7. Sujunchev, </w:t>
      </w:r>
      <w:r w:rsidR="00B97343">
        <w:rPr>
          <w:rFonts w:ascii="Times New Roman" w:hAnsi="Times New Roman"/>
          <w:sz w:val="22"/>
          <w:szCs w:val="28"/>
          <w:lang w:val="en-US"/>
        </w:rPr>
        <w:t>M.M</w:t>
      </w:r>
      <w:r>
        <w:rPr>
          <w:rFonts w:ascii="Times New Roman" w:hAnsi="Times New Roman"/>
          <w:sz w:val="22"/>
          <w:szCs w:val="28"/>
          <w:lang w:val="en-US"/>
        </w:rPr>
        <w:t>. Interregional differentiation in tariffs for electrical energy in the Russian Federation [text]/</w:t>
      </w:r>
      <w:r w:rsidR="00B97343">
        <w:rPr>
          <w:rFonts w:ascii="Times New Roman" w:hAnsi="Times New Roman"/>
          <w:sz w:val="22"/>
          <w:szCs w:val="28"/>
          <w:lang w:val="en-US"/>
        </w:rPr>
        <w:t xml:space="preserve"> M.M</w:t>
      </w:r>
      <w:r>
        <w:rPr>
          <w:rFonts w:ascii="Times New Roman" w:hAnsi="Times New Roman"/>
          <w:sz w:val="22"/>
          <w:szCs w:val="28"/>
          <w:lang w:val="en-US"/>
        </w:rPr>
        <w:t>. Sujunchev</w:t>
      </w:r>
      <w:r w:rsidR="00B97343">
        <w:rPr>
          <w:rFonts w:ascii="Times New Roman" w:hAnsi="Times New Roman"/>
          <w:sz w:val="22"/>
          <w:szCs w:val="28"/>
          <w:lang w:val="en-US"/>
        </w:rPr>
        <w:t xml:space="preserve"> </w:t>
      </w:r>
      <w:r>
        <w:rPr>
          <w:rFonts w:ascii="Times New Roman" w:hAnsi="Times New Roman"/>
          <w:sz w:val="22"/>
          <w:szCs w:val="28"/>
          <w:lang w:val="en-US"/>
        </w:rPr>
        <w:t xml:space="preserve">, </w:t>
      </w:r>
      <w:r w:rsidR="00B97343">
        <w:rPr>
          <w:rFonts w:ascii="Times New Roman" w:hAnsi="Times New Roman"/>
          <w:sz w:val="22"/>
          <w:szCs w:val="28"/>
          <w:lang w:val="en-US"/>
        </w:rPr>
        <w:t>S.V</w:t>
      </w:r>
      <w:r>
        <w:rPr>
          <w:rFonts w:ascii="Times New Roman" w:hAnsi="Times New Roman"/>
          <w:sz w:val="22"/>
          <w:szCs w:val="28"/>
          <w:lang w:val="en-US"/>
        </w:rPr>
        <w:t xml:space="preserve">. Repetjuk, </w:t>
      </w:r>
      <w:r w:rsidR="00B97343">
        <w:rPr>
          <w:rFonts w:ascii="Times New Roman" w:hAnsi="Times New Roman"/>
          <w:sz w:val="22"/>
          <w:szCs w:val="28"/>
          <w:lang w:val="en-US"/>
        </w:rPr>
        <w:t>B.I</w:t>
      </w:r>
      <w:r>
        <w:rPr>
          <w:rFonts w:ascii="Times New Roman" w:hAnsi="Times New Roman"/>
          <w:sz w:val="22"/>
          <w:szCs w:val="28"/>
          <w:lang w:val="en-US"/>
        </w:rPr>
        <w:t xml:space="preserve">. Fain, </w:t>
      </w:r>
      <w:r w:rsidR="00B97343">
        <w:rPr>
          <w:rFonts w:ascii="Times New Roman" w:hAnsi="Times New Roman"/>
          <w:sz w:val="22"/>
          <w:szCs w:val="28"/>
          <w:lang w:val="en-US"/>
        </w:rPr>
        <w:t>O.O</w:t>
      </w:r>
      <w:r>
        <w:rPr>
          <w:rFonts w:ascii="Times New Roman" w:hAnsi="Times New Roman"/>
          <w:sz w:val="22"/>
          <w:szCs w:val="28"/>
          <w:lang w:val="en-US"/>
        </w:rPr>
        <w:t xml:space="preserve">. </w:t>
      </w:r>
      <w:r w:rsidR="00B97343">
        <w:rPr>
          <w:rFonts w:ascii="Times New Roman" w:hAnsi="Times New Roman"/>
          <w:sz w:val="22"/>
          <w:szCs w:val="28"/>
          <w:lang w:val="en-US"/>
        </w:rPr>
        <w:t>Mozgovaja //</w:t>
      </w:r>
      <w:r>
        <w:rPr>
          <w:rFonts w:ascii="Times New Roman" w:hAnsi="Times New Roman"/>
          <w:sz w:val="22"/>
          <w:szCs w:val="28"/>
          <w:lang w:val="en-US"/>
        </w:rPr>
        <w:t xml:space="preserve">  Economic policy. -2014. -</w:t>
      </w:r>
      <w:r w:rsidR="00D37426" w:rsidRPr="00B97343">
        <w:rPr>
          <w:rFonts w:ascii="Times New Roman" w:hAnsi="Times New Roman"/>
          <w:sz w:val="22"/>
          <w:szCs w:val="28"/>
          <w:lang w:val="en-US"/>
        </w:rPr>
        <w:t>№</w:t>
      </w:r>
      <w:r>
        <w:rPr>
          <w:rFonts w:ascii="Times New Roman" w:hAnsi="Times New Roman"/>
          <w:sz w:val="22"/>
          <w:szCs w:val="28"/>
          <w:lang w:val="en-US"/>
        </w:rPr>
        <w:t xml:space="preserve"> 1.</w:t>
      </w:r>
    </w:p>
    <w:p w:rsidR="00DF655C" w:rsidRPr="006E63C2" w:rsidRDefault="00DF655C" w:rsidP="00730DB7">
      <w:pPr>
        <w:pStyle w:val="af4"/>
        <w:tabs>
          <w:tab w:val="left" w:pos="0"/>
        </w:tabs>
        <w:jc w:val="both"/>
        <w:rPr>
          <w:rFonts w:ascii="Times New Roman" w:eastAsia="MS Mincho" w:hAnsi="Times New Roman"/>
          <w:sz w:val="22"/>
          <w:szCs w:val="22"/>
          <w:highlight w:val="yellow"/>
          <w:lang w:val="en-US"/>
        </w:rPr>
      </w:pPr>
    </w:p>
    <w:p w:rsidR="00DF655C" w:rsidRPr="00C518B0" w:rsidRDefault="00C518B0" w:rsidP="00AD1E4B">
      <w:pPr>
        <w:pStyle w:val="af4"/>
        <w:tabs>
          <w:tab w:val="left" w:pos="0"/>
        </w:tabs>
        <w:jc w:val="both"/>
        <w:rPr>
          <w:rFonts w:ascii="Times New Roman" w:eastAsia="MS Mincho" w:hAnsi="Times New Roman"/>
          <w:bCs/>
          <w:sz w:val="22"/>
          <w:szCs w:val="22"/>
          <w:lang w:val="en-US"/>
        </w:rPr>
      </w:pPr>
      <w:bookmarkStart w:id="0" w:name="_GoBack"/>
      <w:r w:rsidRPr="00C518B0">
        <w:rPr>
          <w:rFonts w:ascii="Times New Roman" w:hAnsi="Times New Roman"/>
          <w:b/>
          <w:sz w:val="22"/>
          <w:szCs w:val="22"/>
          <w:lang w:val="en-GB"/>
        </w:rPr>
        <w:t>Kulikova</w:t>
      </w:r>
      <w:r w:rsidR="006211D3" w:rsidRPr="00C518B0">
        <w:rPr>
          <w:rFonts w:ascii="Times New Roman" w:eastAsia="MS Mincho" w:hAnsi="Times New Roman"/>
          <w:b/>
          <w:bCs/>
          <w:sz w:val="22"/>
          <w:szCs w:val="22"/>
          <w:lang w:val="en-US"/>
        </w:rPr>
        <w:t xml:space="preserve"> </w:t>
      </w:r>
      <w:r w:rsidRPr="00C518B0">
        <w:rPr>
          <w:rFonts w:ascii="Times New Roman" w:eastAsia="MS Mincho" w:hAnsi="Times New Roman"/>
          <w:b/>
          <w:bCs/>
          <w:sz w:val="22"/>
          <w:szCs w:val="22"/>
          <w:lang w:val="en-US"/>
        </w:rPr>
        <w:t>Lidija Vasilevna</w:t>
      </w:r>
      <w:r w:rsidR="006211D3" w:rsidRPr="00C518B0">
        <w:rPr>
          <w:rFonts w:ascii="Times New Roman" w:eastAsia="MS Mincho" w:hAnsi="Times New Roman"/>
          <w:b/>
          <w:bCs/>
          <w:sz w:val="22"/>
          <w:szCs w:val="22"/>
          <w:lang w:val="en-US"/>
        </w:rPr>
        <w:t xml:space="preserve"> </w:t>
      </w:r>
      <w:r w:rsidR="00DF655C" w:rsidRPr="00C518B0">
        <w:rPr>
          <w:rFonts w:ascii="Times New Roman" w:eastAsia="MS Mincho" w:hAnsi="Times New Roman"/>
          <w:b/>
          <w:bCs/>
          <w:sz w:val="22"/>
          <w:szCs w:val="22"/>
          <w:lang w:val="en-US"/>
        </w:rPr>
        <w:t xml:space="preserve">– </w:t>
      </w:r>
      <w:r w:rsidR="006211D3" w:rsidRPr="00C518B0">
        <w:rPr>
          <w:rFonts w:ascii="Times New Roman" w:eastAsia="MS Mincho" w:hAnsi="Times New Roman"/>
          <w:bCs/>
          <w:sz w:val="22"/>
          <w:szCs w:val="22"/>
          <w:lang w:val="en-US"/>
        </w:rPr>
        <w:t>Doctor of technical Sciences, Professor of the Department «Electrification of production and life» of Polzunov Altai State Technical University</w:t>
      </w:r>
      <w:r w:rsidR="00DF655C" w:rsidRPr="00C518B0">
        <w:rPr>
          <w:rFonts w:ascii="Times New Roman" w:eastAsia="MS Mincho" w:hAnsi="Times New Roman"/>
          <w:bCs/>
          <w:sz w:val="22"/>
          <w:szCs w:val="22"/>
          <w:lang w:val="en-US"/>
        </w:rPr>
        <w:t xml:space="preserve">, </w:t>
      </w:r>
      <w:r w:rsidRPr="00C518B0">
        <w:rPr>
          <w:rFonts w:ascii="Times New Roman" w:hAnsi="Times New Roman"/>
          <w:color w:val="000000" w:themeColor="text1"/>
          <w:sz w:val="22"/>
          <w:szCs w:val="22"/>
          <w:shd w:val="clear" w:color="auto" w:fill="FFFFFF"/>
          <w:lang w:val="en-US"/>
        </w:rPr>
        <w:t>liliavaskul@gmail.com</w:t>
      </w:r>
      <w:r w:rsidR="00DF655C" w:rsidRPr="00C518B0">
        <w:rPr>
          <w:rFonts w:ascii="Times New Roman" w:eastAsia="MS Mincho" w:hAnsi="Times New Roman"/>
          <w:bCs/>
          <w:sz w:val="22"/>
          <w:szCs w:val="22"/>
          <w:lang w:val="en-US"/>
        </w:rPr>
        <w:t xml:space="preserve">, </w:t>
      </w:r>
      <w:r w:rsidR="006211D3" w:rsidRPr="00C518B0">
        <w:rPr>
          <w:rFonts w:ascii="Times New Roman" w:eastAsia="MS Mincho" w:hAnsi="Times New Roman"/>
          <w:bCs/>
          <w:sz w:val="22"/>
          <w:szCs w:val="22"/>
          <w:lang w:val="en-US"/>
        </w:rPr>
        <w:t>phone:</w:t>
      </w:r>
      <w:r w:rsidR="009644D7">
        <w:rPr>
          <w:rFonts w:ascii="Times New Roman" w:eastAsia="MS Mincho" w:hAnsi="Times New Roman"/>
          <w:bCs/>
          <w:sz w:val="22"/>
          <w:szCs w:val="22"/>
          <w:lang w:val="en-US"/>
        </w:rPr>
        <w:t xml:space="preserve"> +7 (3852) 36-71-29.</w:t>
      </w:r>
    </w:p>
    <w:p w:rsidR="00DF655C" w:rsidRPr="00C518B0" w:rsidRDefault="00C518B0" w:rsidP="00AD1E4B">
      <w:pPr>
        <w:pStyle w:val="af4"/>
        <w:tabs>
          <w:tab w:val="left" w:pos="0"/>
        </w:tabs>
        <w:jc w:val="both"/>
        <w:rPr>
          <w:rFonts w:ascii="Times New Roman" w:eastAsia="MS Mincho" w:hAnsi="Times New Roman"/>
          <w:sz w:val="22"/>
          <w:szCs w:val="22"/>
          <w:lang w:val="en-US"/>
        </w:rPr>
      </w:pPr>
      <w:r w:rsidRPr="00C518B0">
        <w:rPr>
          <w:rFonts w:ascii="Times New Roman" w:hAnsi="Times New Roman"/>
          <w:b/>
          <w:sz w:val="22"/>
          <w:szCs w:val="22"/>
          <w:lang w:val="en-GB"/>
        </w:rPr>
        <w:t>Melnikov</w:t>
      </w:r>
      <w:r w:rsidR="00581FC4" w:rsidRPr="00C518B0">
        <w:rPr>
          <w:rFonts w:ascii="Times New Roman" w:eastAsia="MS Mincho" w:hAnsi="Times New Roman"/>
          <w:b/>
          <w:bCs/>
          <w:sz w:val="22"/>
          <w:szCs w:val="22"/>
          <w:lang w:val="en-GB"/>
        </w:rPr>
        <w:t xml:space="preserve"> </w:t>
      </w:r>
      <w:r w:rsidRPr="00C518B0">
        <w:rPr>
          <w:rFonts w:ascii="Times New Roman" w:eastAsia="MS Mincho" w:hAnsi="Times New Roman"/>
          <w:b/>
          <w:bCs/>
          <w:sz w:val="22"/>
          <w:szCs w:val="22"/>
          <w:lang w:val="en-GB"/>
        </w:rPr>
        <w:t>Vladimir Alekseevi</w:t>
      </w:r>
      <w:r w:rsidR="00581FC4" w:rsidRPr="00C518B0">
        <w:rPr>
          <w:rFonts w:ascii="Times New Roman" w:eastAsia="MS Mincho" w:hAnsi="Times New Roman"/>
          <w:b/>
          <w:bCs/>
          <w:sz w:val="22"/>
          <w:szCs w:val="22"/>
          <w:lang w:val="en-US"/>
        </w:rPr>
        <w:t xml:space="preserve">ch </w:t>
      </w:r>
      <w:r w:rsidR="00DF655C" w:rsidRPr="00C518B0">
        <w:rPr>
          <w:rFonts w:ascii="Times New Roman" w:eastAsia="MS Mincho" w:hAnsi="Times New Roman"/>
          <w:b/>
          <w:bCs/>
          <w:sz w:val="22"/>
          <w:szCs w:val="22"/>
          <w:lang w:val="en-US"/>
        </w:rPr>
        <w:t xml:space="preserve">– </w:t>
      </w:r>
      <w:r w:rsidRPr="00C518B0">
        <w:rPr>
          <w:rFonts w:ascii="Times New Roman" w:eastAsia="MS Mincho" w:hAnsi="Times New Roman"/>
          <w:bCs/>
          <w:sz w:val="22"/>
          <w:szCs w:val="22"/>
          <w:lang w:val="en-US"/>
        </w:rPr>
        <w:t>of the Department «Electrification of production and life» of Polzunov Altai State Technical University</w:t>
      </w:r>
      <w:r w:rsidR="00DF655C" w:rsidRPr="00C518B0">
        <w:rPr>
          <w:rFonts w:ascii="Times New Roman" w:eastAsia="MS Mincho" w:hAnsi="Times New Roman"/>
          <w:bCs/>
          <w:sz w:val="22"/>
          <w:szCs w:val="22"/>
          <w:lang w:val="en-US"/>
        </w:rPr>
        <w:t xml:space="preserve">, </w:t>
      </w:r>
      <w:hyperlink r:id="rId12" w:tgtFrame="_blank" w:history="1">
        <w:r w:rsidRPr="00C518B0">
          <w:rPr>
            <w:rStyle w:val="aa"/>
            <w:rFonts w:ascii="Times New Roman" w:eastAsiaTheme="majorEastAsia" w:hAnsi="Times New Roman"/>
            <w:color w:val="000000" w:themeColor="text1"/>
            <w:sz w:val="22"/>
            <w:szCs w:val="22"/>
            <w:u w:val="none"/>
            <w:shd w:val="clear" w:color="auto" w:fill="FFFFFF"/>
            <w:lang w:val="en-US"/>
          </w:rPr>
          <w:t>melnikov_vladimir94@mail.ru</w:t>
        </w:r>
      </w:hyperlink>
      <w:r w:rsidR="00DF655C" w:rsidRPr="00C518B0">
        <w:rPr>
          <w:rFonts w:ascii="Times New Roman" w:eastAsia="MS Mincho" w:hAnsi="Times New Roman"/>
          <w:bCs/>
          <w:sz w:val="22"/>
          <w:szCs w:val="22"/>
          <w:lang w:val="en-US"/>
        </w:rPr>
        <w:t xml:space="preserve">, </w:t>
      </w:r>
      <w:r w:rsidR="00581FC4" w:rsidRPr="00C518B0">
        <w:rPr>
          <w:rFonts w:ascii="Times New Roman" w:eastAsia="MS Mincho" w:hAnsi="Times New Roman"/>
          <w:bCs/>
          <w:sz w:val="22"/>
          <w:szCs w:val="22"/>
          <w:lang w:val="en-US"/>
        </w:rPr>
        <w:t>phone:</w:t>
      </w:r>
      <w:r w:rsidR="009644D7">
        <w:rPr>
          <w:rFonts w:ascii="Times New Roman" w:eastAsia="MS Mincho" w:hAnsi="Times New Roman"/>
          <w:bCs/>
          <w:sz w:val="22"/>
          <w:szCs w:val="22"/>
          <w:lang w:val="en-US"/>
        </w:rPr>
        <w:t xml:space="preserve"> +7 (3852) 36-71-29.</w:t>
      </w:r>
    </w:p>
    <w:bookmarkEnd w:id="0"/>
    <w:p w:rsidR="00C205E1" w:rsidRPr="00C518B0" w:rsidRDefault="00C205E1" w:rsidP="00DF655C">
      <w:pPr>
        <w:pStyle w:val="af4"/>
        <w:tabs>
          <w:tab w:val="left" w:pos="0"/>
        </w:tabs>
        <w:ind w:firstLine="709"/>
        <w:jc w:val="both"/>
        <w:rPr>
          <w:rFonts w:ascii="Times New Roman" w:eastAsia="MS Mincho" w:hAnsi="Times New Roman"/>
          <w:sz w:val="22"/>
          <w:szCs w:val="22"/>
          <w:lang w:val="en-US"/>
        </w:rPr>
      </w:pPr>
    </w:p>
    <w:sectPr w:rsidR="00C205E1" w:rsidRPr="00C518B0" w:rsidSect="000F5AE3">
      <w:footerReference w:type="even" r:id="rId13"/>
      <w:footerReference w:type="default" r:id="rId14"/>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0DCA" w:rsidRDefault="00C60DCA" w:rsidP="00035078">
      <w:r>
        <w:separator/>
      </w:r>
    </w:p>
  </w:endnote>
  <w:endnote w:type="continuationSeparator" w:id="0">
    <w:p w:rsidR="00C60DCA" w:rsidRDefault="00C60DCA" w:rsidP="000350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6E7" w:rsidRDefault="00C60DCA">
    <w:pPr>
      <w:pStyle w:val="af0"/>
      <w:spacing w:line="14" w:lineRule="auto"/>
    </w:pPr>
    <w:r>
      <w:rPr>
        <w:sz w:val="28"/>
        <w:lang w:val="en-US" w:eastAsia="en-US"/>
      </w:rPr>
      <w:pict>
        <v:shapetype id="_x0000_t202" coordsize="21600,21600" o:spt="202" path="m,l,21600r21600,l21600,xe">
          <v:stroke joinstyle="miter"/>
          <v:path gradientshapeok="t" o:connecttype="rect"/>
        </v:shapetype>
        <v:shape id="_x0000_s2050" type="#_x0000_t202" style="position:absolute;margin-left:288.45pt;margin-top:801.3pt;width:18.35pt;height:17.9pt;z-index:-251655168;mso-position-horizontal-relative:page;mso-position-vertical-relative:page" filled="f" stroked="f">
          <v:textbox inset="0,0,0,0">
            <w:txbxContent>
              <w:p w:rsidR="007B26E7" w:rsidRDefault="00BE0ED1">
                <w:pPr>
                  <w:pStyle w:val="af0"/>
                  <w:spacing w:before="14"/>
                  <w:ind w:left="40"/>
                </w:pPr>
                <w:r>
                  <w:fldChar w:fldCharType="begin"/>
                </w:r>
                <w:r w:rsidR="00EB5096">
                  <w:instrText xml:space="preserve"> PAGE </w:instrText>
                </w:r>
                <w:r>
                  <w:fldChar w:fldCharType="separate"/>
                </w:r>
                <w:r w:rsidR="00CB123B">
                  <w:rPr>
                    <w:noProof/>
                  </w:rPr>
                  <w:t>1</w:t>
                </w:r>
                <w:r>
                  <w:rPr>
                    <w:noProof/>
                  </w:rPr>
                  <w:fldChar w:fldCharType="end"/>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6E7" w:rsidRDefault="00C60DCA">
    <w:pPr>
      <w:pStyle w:val="af0"/>
      <w:spacing w:line="14" w:lineRule="auto"/>
    </w:pPr>
    <w:r>
      <w:rPr>
        <w:sz w:val="28"/>
        <w:lang w:val="en-US" w:eastAsia="en-US"/>
      </w:rPr>
      <w:pict>
        <v:shapetype id="_x0000_t202" coordsize="21600,21600" o:spt="202" path="m,l,21600r21600,l21600,xe">
          <v:stroke joinstyle="miter"/>
          <v:path gradientshapeok="t" o:connecttype="rect"/>
        </v:shapetype>
        <v:shape id="_x0000_s2049" type="#_x0000_t202" style="position:absolute;margin-left:288.45pt;margin-top:801.3pt;width:18.35pt;height:17.9pt;z-index:-251656192;mso-position-horizontal-relative:page;mso-position-vertical-relative:page" filled="f" stroked="f">
          <v:textbox inset="0,0,0,0">
            <w:txbxContent>
              <w:p w:rsidR="007B26E7" w:rsidRDefault="00BE0ED1">
                <w:pPr>
                  <w:pStyle w:val="af0"/>
                  <w:spacing w:before="14"/>
                  <w:ind w:left="40"/>
                </w:pPr>
                <w:r>
                  <w:fldChar w:fldCharType="begin"/>
                </w:r>
                <w:r w:rsidR="00EB5096">
                  <w:instrText xml:space="preserve"> PAGE </w:instrText>
                </w:r>
                <w:r>
                  <w:fldChar w:fldCharType="separate"/>
                </w:r>
                <w:r w:rsidR="00AD1E4B">
                  <w:rPr>
                    <w:noProof/>
                  </w:rPr>
                  <w:t>6</w:t>
                </w:r>
                <w:r>
                  <w:rPr>
                    <w:noProof/>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0DCA" w:rsidRDefault="00C60DCA" w:rsidP="00035078">
      <w:r>
        <w:separator/>
      </w:r>
    </w:p>
  </w:footnote>
  <w:footnote w:type="continuationSeparator" w:id="0">
    <w:p w:rsidR="00C60DCA" w:rsidRDefault="00C60DCA" w:rsidP="000350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E1B4D"/>
    <w:multiLevelType w:val="hybridMultilevel"/>
    <w:tmpl w:val="443E541A"/>
    <w:lvl w:ilvl="0" w:tplc="E732F2F2">
      <w:start w:val="1"/>
      <w:numFmt w:val="decimal"/>
      <w:lvlText w:val="%1."/>
      <w:lvlJc w:val="left"/>
      <w:pPr>
        <w:ind w:left="113" w:hanging="356"/>
        <w:jc w:val="right"/>
      </w:pPr>
      <w:rPr>
        <w:rFonts w:ascii="Times New Roman" w:eastAsia="Times New Roman" w:hAnsi="Times New Roman" w:cs="Times New Roman" w:hint="default"/>
        <w:w w:val="102"/>
        <w:sz w:val="28"/>
        <w:szCs w:val="28"/>
      </w:rPr>
    </w:lvl>
    <w:lvl w:ilvl="1" w:tplc="F4086256">
      <w:numFmt w:val="bullet"/>
      <w:lvlText w:val="•"/>
      <w:lvlJc w:val="left"/>
      <w:pPr>
        <w:ind w:left="6960" w:hanging="356"/>
      </w:pPr>
      <w:rPr>
        <w:rFonts w:hint="default"/>
      </w:rPr>
    </w:lvl>
    <w:lvl w:ilvl="2" w:tplc="E8BAD7C0">
      <w:numFmt w:val="bullet"/>
      <w:lvlText w:val="•"/>
      <w:lvlJc w:val="left"/>
      <w:pPr>
        <w:ind w:left="7140" w:hanging="356"/>
      </w:pPr>
      <w:rPr>
        <w:rFonts w:hint="default"/>
      </w:rPr>
    </w:lvl>
    <w:lvl w:ilvl="3" w:tplc="6E5AEB52">
      <w:numFmt w:val="bullet"/>
      <w:lvlText w:val="•"/>
      <w:lvlJc w:val="left"/>
      <w:pPr>
        <w:ind w:left="7480" w:hanging="356"/>
      </w:pPr>
      <w:rPr>
        <w:rFonts w:hint="default"/>
      </w:rPr>
    </w:lvl>
    <w:lvl w:ilvl="4" w:tplc="4F96C1C2">
      <w:numFmt w:val="bullet"/>
      <w:lvlText w:val="•"/>
      <w:lvlJc w:val="left"/>
      <w:pPr>
        <w:ind w:left="7821" w:hanging="356"/>
      </w:pPr>
      <w:rPr>
        <w:rFonts w:hint="default"/>
      </w:rPr>
    </w:lvl>
    <w:lvl w:ilvl="5" w:tplc="E3340716">
      <w:numFmt w:val="bullet"/>
      <w:lvlText w:val="•"/>
      <w:lvlJc w:val="left"/>
      <w:pPr>
        <w:ind w:left="8162" w:hanging="356"/>
      </w:pPr>
      <w:rPr>
        <w:rFonts w:hint="default"/>
      </w:rPr>
    </w:lvl>
    <w:lvl w:ilvl="6" w:tplc="348AF9C0">
      <w:numFmt w:val="bullet"/>
      <w:lvlText w:val="•"/>
      <w:lvlJc w:val="left"/>
      <w:pPr>
        <w:ind w:left="8502" w:hanging="356"/>
      </w:pPr>
      <w:rPr>
        <w:rFonts w:hint="default"/>
      </w:rPr>
    </w:lvl>
    <w:lvl w:ilvl="7" w:tplc="F326B132">
      <w:numFmt w:val="bullet"/>
      <w:lvlText w:val="•"/>
      <w:lvlJc w:val="left"/>
      <w:pPr>
        <w:ind w:left="8843" w:hanging="356"/>
      </w:pPr>
      <w:rPr>
        <w:rFonts w:hint="default"/>
      </w:rPr>
    </w:lvl>
    <w:lvl w:ilvl="8" w:tplc="5076143E">
      <w:numFmt w:val="bullet"/>
      <w:lvlText w:val="•"/>
      <w:lvlJc w:val="left"/>
      <w:pPr>
        <w:ind w:left="9184" w:hanging="356"/>
      </w:pPr>
      <w:rPr>
        <w:rFonts w:hint="default"/>
      </w:rPr>
    </w:lvl>
  </w:abstractNum>
  <w:abstractNum w:abstractNumId="1">
    <w:nsid w:val="3BA853C2"/>
    <w:multiLevelType w:val="hybridMultilevel"/>
    <w:tmpl w:val="B05A167A"/>
    <w:lvl w:ilvl="0" w:tplc="A348B062">
      <w:start w:val="1"/>
      <w:numFmt w:val="decimal"/>
      <w:lvlText w:val="%1."/>
      <w:lvlJc w:val="left"/>
      <w:pPr>
        <w:tabs>
          <w:tab w:val="num" w:pos="1260"/>
        </w:tabs>
        <w:ind w:left="1260" w:hanging="360"/>
      </w:pPr>
      <w:rPr>
        <w:b w:val="0"/>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4A41A4B"/>
    <w:multiLevelType w:val="hybridMultilevel"/>
    <w:tmpl w:val="2EEC98B6"/>
    <w:lvl w:ilvl="0" w:tplc="93A6C05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4A171CD8"/>
    <w:multiLevelType w:val="hybridMultilevel"/>
    <w:tmpl w:val="7CAC4950"/>
    <w:lvl w:ilvl="0" w:tplc="110A1218">
      <w:start w:val="1"/>
      <w:numFmt w:val="decimal"/>
      <w:lvlText w:val="%1."/>
      <w:lvlJc w:val="left"/>
      <w:pPr>
        <w:ind w:left="1349" w:hanging="356"/>
        <w:jc w:val="right"/>
      </w:pPr>
      <w:rPr>
        <w:rFonts w:ascii="Times New Roman" w:eastAsia="Times New Roman" w:hAnsi="Times New Roman" w:cs="Times New Roman" w:hint="default"/>
        <w:w w:val="102"/>
        <w:sz w:val="28"/>
        <w:szCs w:val="28"/>
      </w:rPr>
    </w:lvl>
    <w:lvl w:ilvl="1" w:tplc="88BE715A">
      <w:numFmt w:val="bullet"/>
      <w:lvlText w:val="•"/>
      <w:lvlJc w:val="left"/>
      <w:pPr>
        <w:ind w:left="2330" w:hanging="356"/>
      </w:pPr>
      <w:rPr>
        <w:rFonts w:hint="default"/>
      </w:rPr>
    </w:lvl>
    <w:lvl w:ilvl="2" w:tplc="127C83C6">
      <w:numFmt w:val="bullet"/>
      <w:lvlText w:val="•"/>
      <w:lvlJc w:val="left"/>
      <w:pPr>
        <w:ind w:left="3305" w:hanging="356"/>
      </w:pPr>
      <w:rPr>
        <w:rFonts w:hint="default"/>
      </w:rPr>
    </w:lvl>
    <w:lvl w:ilvl="3" w:tplc="CFAECCC0">
      <w:numFmt w:val="bullet"/>
      <w:lvlText w:val="•"/>
      <w:lvlJc w:val="left"/>
      <w:pPr>
        <w:ind w:left="4279" w:hanging="356"/>
      </w:pPr>
      <w:rPr>
        <w:rFonts w:hint="default"/>
      </w:rPr>
    </w:lvl>
    <w:lvl w:ilvl="4" w:tplc="67940FD0">
      <w:numFmt w:val="bullet"/>
      <w:lvlText w:val="•"/>
      <w:lvlJc w:val="left"/>
      <w:pPr>
        <w:ind w:left="5254" w:hanging="356"/>
      </w:pPr>
      <w:rPr>
        <w:rFonts w:hint="default"/>
      </w:rPr>
    </w:lvl>
    <w:lvl w:ilvl="5" w:tplc="F104C806">
      <w:numFmt w:val="bullet"/>
      <w:lvlText w:val="•"/>
      <w:lvlJc w:val="left"/>
      <w:pPr>
        <w:ind w:left="6228" w:hanging="356"/>
      </w:pPr>
      <w:rPr>
        <w:rFonts w:hint="default"/>
      </w:rPr>
    </w:lvl>
    <w:lvl w:ilvl="6" w:tplc="28A499AE">
      <w:numFmt w:val="bullet"/>
      <w:lvlText w:val="•"/>
      <w:lvlJc w:val="left"/>
      <w:pPr>
        <w:ind w:left="7203" w:hanging="356"/>
      </w:pPr>
      <w:rPr>
        <w:rFonts w:hint="default"/>
      </w:rPr>
    </w:lvl>
    <w:lvl w:ilvl="7" w:tplc="46709C8E">
      <w:numFmt w:val="bullet"/>
      <w:lvlText w:val="•"/>
      <w:lvlJc w:val="left"/>
      <w:pPr>
        <w:ind w:left="8177" w:hanging="356"/>
      </w:pPr>
      <w:rPr>
        <w:rFonts w:hint="default"/>
      </w:rPr>
    </w:lvl>
    <w:lvl w:ilvl="8" w:tplc="6122B234">
      <w:numFmt w:val="bullet"/>
      <w:lvlText w:val="•"/>
      <w:lvlJc w:val="left"/>
      <w:pPr>
        <w:ind w:left="9152" w:hanging="356"/>
      </w:pPr>
      <w:rPr>
        <w:rFont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E6D38"/>
    <w:rsid w:val="00003754"/>
    <w:rsid w:val="000043C5"/>
    <w:rsid w:val="000156F1"/>
    <w:rsid w:val="00015A7A"/>
    <w:rsid w:val="0002394C"/>
    <w:rsid w:val="00025069"/>
    <w:rsid w:val="0002684B"/>
    <w:rsid w:val="00032179"/>
    <w:rsid w:val="00035078"/>
    <w:rsid w:val="00055DCA"/>
    <w:rsid w:val="0006334A"/>
    <w:rsid w:val="000801E0"/>
    <w:rsid w:val="0008339B"/>
    <w:rsid w:val="000846F4"/>
    <w:rsid w:val="000A3CD7"/>
    <w:rsid w:val="000A59F8"/>
    <w:rsid w:val="000B7494"/>
    <w:rsid w:val="000D26C8"/>
    <w:rsid w:val="000D3A43"/>
    <w:rsid w:val="000F367D"/>
    <w:rsid w:val="000F3780"/>
    <w:rsid w:val="000F5AE3"/>
    <w:rsid w:val="0010582A"/>
    <w:rsid w:val="00113FF2"/>
    <w:rsid w:val="00116114"/>
    <w:rsid w:val="001179D6"/>
    <w:rsid w:val="001208C5"/>
    <w:rsid w:val="00124EB5"/>
    <w:rsid w:val="00146234"/>
    <w:rsid w:val="001562C6"/>
    <w:rsid w:val="001805DA"/>
    <w:rsid w:val="001814B2"/>
    <w:rsid w:val="00182562"/>
    <w:rsid w:val="00183290"/>
    <w:rsid w:val="00186E0D"/>
    <w:rsid w:val="00192226"/>
    <w:rsid w:val="00192699"/>
    <w:rsid w:val="00194C50"/>
    <w:rsid w:val="00196239"/>
    <w:rsid w:val="001B67A2"/>
    <w:rsid w:val="001C150C"/>
    <w:rsid w:val="001C4CDF"/>
    <w:rsid w:val="001D4427"/>
    <w:rsid w:val="001E525C"/>
    <w:rsid w:val="001E5BE2"/>
    <w:rsid w:val="001E6A5C"/>
    <w:rsid w:val="0020638A"/>
    <w:rsid w:val="00206CB2"/>
    <w:rsid w:val="002125ED"/>
    <w:rsid w:val="00212B0F"/>
    <w:rsid w:val="00212BBD"/>
    <w:rsid w:val="00223754"/>
    <w:rsid w:val="00232F61"/>
    <w:rsid w:val="00240607"/>
    <w:rsid w:val="0025609D"/>
    <w:rsid w:val="00265E44"/>
    <w:rsid w:val="00271265"/>
    <w:rsid w:val="0027244A"/>
    <w:rsid w:val="0027533C"/>
    <w:rsid w:val="00275A68"/>
    <w:rsid w:val="00280C05"/>
    <w:rsid w:val="00284902"/>
    <w:rsid w:val="00293934"/>
    <w:rsid w:val="002A69E3"/>
    <w:rsid w:val="002C37D8"/>
    <w:rsid w:val="002C52A3"/>
    <w:rsid w:val="002D3F38"/>
    <w:rsid w:val="002D5950"/>
    <w:rsid w:val="002E3A21"/>
    <w:rsid w:val="002F0D18"/>
    <w:rsid w:val="002F45FC"/>
    <w:rsid w:val="00300330"/>
    <w:rsid w:val="003008E3"/>
    <w:rsid w:val="00312464"/>
    <w:rsid w:val="00312EA1"/>
    <w:rsid w:val="00320D2A"/>
    <w:rsid w:val="00322A85"/>
    <w:rsid w:val="0034092C"/>
    <w:rsid w:val="0034173B"/>
    <w:rsid w:val="003447E2"/>
    <w:rsid w:val="0035071D"/>
    <w:rsid w:val="003509B1"/>
    <w:rsid w:val="00357A9A"/>
    <w:rsid w:val="00367AB1"/>
    <w:rsid w:val="00374F20"/>
    <w:rsid w:val="00390414"/>
    <w:rsid w:val="003904F6"/>
    <w:rsid w:val="003B206C"/>
    <w:rsid w:val="003C017B"/>
    <w:rsid w:val="003C0963"/>
    <w:rsid w:val="003C18C4"/>
    <w:rsid w:val="003D0424"/>
    <w:rsid w:val="003D1907"/>
    <w:rsid w:val="003D305B"/>
    <w:rsid w:val="003D750A"/>
    <w:rsid w:val="003D75F5"/>
    <w:rsid w:val="003D7BF1"/>
    <w:rsid w:val="003E3338"/>
    <w:rsid w:val="003F4F20"/>
    <w:rsid w:val="003F594A"/>
    <w:rsid w:val="003F6AE9"/>
    <w:rsid w:val="00400E50"/>
    <w:rsid w:val="004043EA"/>
    <w:rsid w:val="00417440"/>
    <w:rsid w:val="00424B7C"/>
    <w:rsid w:val="00425609"/>
    <w:rsid w:val="00432D05"/>
    <w:rsid w:val="004344AD"/>
    <w:rsid w:val="00445D62"/>
    <w:rsid w:val="00476F86"/>
    <w:rsid w:val="00493DC6"/>
    <w:rsid w:val="004B53C7"/>
    <w:rsid w:val="004C1032"/>
    <w:rsid w:val="004C3011"/>
    <w:rsid w:val="004C314F"/>
    <w:rsid w:val="004C4F95"/>
    <w:rsid w:val="004C597C"/>
    <w:rsid w:val="004D6E00"/>
    <w:rsid w:val="004E0C93"/>
    <w:rsid w:val="004E1AFB"/>
    <w:rsid w:val="004E1DC5"/>
    <w:rsid w:val="004E414B"/>
    <w:rsid w:val="004F2598"/>
    <w:rsid w:val="00505A8F"/>
    <w:rsid w:val="00513A65"/>
    <w:rsid w:val="00515954"/>
    <w:rsid w:val="00516A8E"/>
    <w:rsid w:val="005350B7"/>
    <w:rsid w:val="00541D99"/>
    <w:rsid w:val="00556914"/>
    <w:rsid w:val="00557BBA"/>
    <w:rsid w:val="0056411B"/>
    <w:rsid w:val="00566AC0"/>
    <w:rsid w:val="00581904"/>
    <w:rsid w:val="00581FC4"/>
    <w:rsid w:val="0058553C"/>
    <w:rsid w:val="00586DDA"/>
    <w:rsid w:val="00590140"/>
    <w:rsid w:val="00591B09"/>
    <w:rsid w:val="005A1A53"/>
    <w:rsid w:val="005A391B"/>
    <w:rsid w:val="005B43CF"/>
    <w:rsid w:val="005B4962"/>
    <w:rsid w:val="005B4BE1"/>
    <w:rsid w:val="005B7404"/>
    <w:rsid w:val="005D2836"/>
    <w:rsid w:val="005D4081"/>
    <w:rsid w:val="005D79C1"/>
    <w:rsid w:val="005E46D8"/>
    <w:rsid w:val="005E6CE2"/>
    <w:rsid w:val="005E7368"/>
    <w:rsid w:val="005F40B8"/>
    <w:rsid w:val="00604A11"/>
    <w:rsid w:val="00610AEA"/>
    <w:rsid w:val="00614C4E"/>
    <w:rsid w:val="0062020E"/>
    <w:rsid w:val="006211D3"/>
    <w:rsid w:val="00630074"/>
    <w:rsid w:val="006322A9"/>
    <w:rsid w:val="00633BDF"/>
    <w:rsid w:val="00642D77"/>
    <w:rsid w:val="00643FCA"/>
    <w:rsid w:val="00652970"/>
    <w:rsid w:val="00654B2C"/>
    <w:rsid w:val="00665556"/>
    <w:rsid w:val="00674379"/>
    <w:rsid w:val="0067692E"/>
    <w:rsid w:val="00685E7F"/>
    <w:rsid w:val="00687A70"/>
    <w:rsid w:val="00692ED4"/>
    <w:rsid w:val="00697E3F"/>
    <w:rsid w:val="006B2437"/>
    <w:rsid w:val="006D45E0"/>
    <w:rsid w:val="006E1E8F"/>
    <w:rsid w:val="006E63C2"/>
    <w:rsid w:val="006F01CB"/>
    <w:rsid w:val="006F7355"/>
    <w:rsid w:val="00700A9E"/>
    <w:rsid w:val="00707BCE"/>
    <w:rsid w:val="00717609"/>
    <w:rsid w:val="00722C5A"/>
    <w:rsid w:val="00724847"/>
    <w:rsid w:val="00726737"/>
    <w:rsid w:val="00730DB7"/>
    <w:rsid w:val="00744B1D"/>
    <w:rsid w:val="007601E2"/>
    <w:rsid w:val="007610C6"/>
    <w:rsid w:val="007644B4"/>
    <w:rsid w:val="007731B8"/>
    <w:rsid w:val="007762C9"/>
    <w:rsid w:val="00791463"/>
    <w:rsid w:val="00794BA3"/>
    <w:rsid w:val="007A0181"/>
    <w:rsid w:val="007A6060"/>
    <w:rsid w:val="007A6ED7"/>
    <w:rsid w:val="007A7890"/>
    <w:rsid w:val="007B26E7"/>
    <w:rsid w:val="007B62ED"/>
    <w:rsid w:val="007C13B5"/>
    <w:rsid w:val="007C418B"/>
    <w:rsid w:val="007D0A0C"/>
    <w:rsid w:val="007E0ADB"/>
    <w:rsid w:val="007E251A"/>
    <w:rsid w:val="007E44CB"/>
    <w:rsid w:val="007E6D38"/>
    <w:rsid w:val="007F3551"/>
    <w:rsid w:val="007F63BF"/>
    <w:rsid w:val="008144D8"/>
    <w:rsid w:val="00820707"/>
    <w:rsid w:val="00820E29"/>
    <w:rsid w:val="00841259"/>
    <w:rsid w:val="008450BC"/>
    <w:rsid w:val="00847C62"/>
    <w:rsid w:val="00872097"/>
    <w:rsid w:val="008809CE"/>
    <w:rsid w:val="00886D62"/>
    <w:rsid w:val="00896599"/>
    <w:rsid w:val="008A4D4A"/>
    <w:rsid w:val="008B45E8"/>
    <w:rsid w:val="008C0D2D"/>
    <w:rsid w:val="008C6E8D"/>
    <w:rsid w:val="008D0424"/>
    <w:rsid w:val="008D0914"/>
    <w:rsid w:val="008D1C25"/>
    <w:rsid w:val="008D3823"/>
    <w:rsid w:val="008D6CD3"/>
    <w:rsid w:val="008D7009"/>
    <w:rsid w:val="008E1F26"/>
    <w:rsid w:val="008E64B2"/>
    <w:rsid w:val="008F2C7F"/>
    <w:rsid w:val="00900837"/>
    <w:rsid w:val="00905BB9"/>
    <w:rsid w:val="00905F69"/>
    <w:rsid w:val="0091477D"/>
    <w:rsid w:val="0091618E"/>
    <w:rsid w:val="00927827"/>
    <w:rsid w:val="00940F07"/>
    <w:rsid w:val="00946583"/>
    <w:rsid w:val="00956914"/>
    <w:rsid w:val="00962604"/>
    <w:rsid w:val="009644D7"/>
    <w:rsid w:val="009804A0"/>
    <w:rsid w:val="00980F4B"/>
    <w:rsid w:val="00981860"/>
    <w:rsid w:val="00983282"/>
    <w:rsid w:val="0098741D"/>
    <w:rsid w:val="00993487"/>
    <w:rsid w:val="009A3800"/>
    <w:rsid w:val="009B477D"/>
    <w:rsid w:val="009B47A0"/>
    <w:rsid w:val="009C28AE"/>
    <w:rsid w:val="009D70F7"/>
    <w:rsid w:val="009E4FB5"/>
    <w:rsid w:val="009E7B7F"/>
    <w:rsid w:val="009F0738"/>
    <w:rsid w:val="009F1A2A"/>
    <w:rsid w:val="00A01960"/>
    <w:rsid w:val="00A022E3"/>
    <w:rsid w:val="00A061D8"/>
    <w:rsid w:val="00A2404F"/>
    <w:rsid w:val="00A27037"/>
    <w:rsid w:val="00A313B1"/>
    <w:rsid w:val="00A31CD0"/>
    <w:rsid w:val="00A31D7E"/>
    <w:rsid w:val="00A3392B"/>
    <w:rsid w:val="00A355E4"/>
    <w:rsid w:val="00A450A7"/>
    <w:rsid w:val="00A47044"/>
    <w:rsid w:val="00A473DD"/>
    <w:rsid w:val="00A515C6"/>
    <w:rsid w:val="00A54C1A"/>
    <w:rsid w:val="00A55DCC"/>
    <w:rsid w:val="00A56A25"/>
    <w:rsid w:val="00A57242"/>
    <w:rsid w:val="00A57AA6"/>
    <w:rsid w:val="00A60C07"/>
    <w:rsid w:val="00A616D6"/>
    <w:rsid w:val="00A62F43"/>
    <w:rsid w:val="00A81EA7"/>
    <w:rsid w:val="00A84C4E"/>
    <w:rsid w:val="00A8636C"/>
    <w:rsid w:val="00A9749B"/>
    <w:rsid w:val="00AB376E"/>
    <w:rsid w:val="00AB42BE"/>
    <w:rsid w:val="00AB483E"/>
    <w:rsid w:val="00AB5FC8"/>
    <w:rsid w:val="00AC0955"/>
    <w:rsid w:val="00AC20D9"/>
    <w:rsid w:val="00AC61B3"/>
    <w:rsid w:val="00AD1E4B"/>
    <w:rsid w:val="00AD48CA"/>
    <w:rsid w:val="00AE23B2"/>
    <w:rsid w:val="00AE6840"/>
    <w:rsid w:val="00AE6F4D"/>
    <w:rsid w:val="00AE7EB8"/>
    <w:rsid w:val="00AF1B9D"/>
    <w:rsid w:val="00B16647"/>
    <w:rsid w:val="00B207BA"/>
    <w:rsid w:val="00B21BE7"/>
    <w:rsid w:val="00B26A83"/>
    <w:rsid w:val="00B66C69"/>
    <w:rsid w:val="00B674C5"/>
    <w:rsid w:val="00B779E5"/>
    <w:rsid w:val="00B8325C"/>
    <w:rsid w:val="00B873C2"/>
    <w:rsid w:val="00B90AD0"/>
    <w:rsid w:val="00B95AB3"/>
    <w:rsid w:val="00B97343"/>
    <w:rsid w:val="00BC19D9"/>
    <w:rsid w:val="00BC1AC6"/>
    <w:rsid w:val="00BC761E"/>
    <w:rsid w:val="00BD4385"/>
    <w:rsid w:val="00BE0ED1"/>
    <w:rsid w:val="00BE252A"/>
    <w:rsid w:val="00BE3954"/>
    <w:rsid w:val="00BF17B1"/>
    <w:rsid w:val="00BF7F5C"/>
    <w:rsid w:val="00C101D8"/>
    <w:rsid w:val="00C12411"/>
    <w:rsid w:val="00C205E1"/>
    <w:rsid w:val="00C263D5"/>
    <w:rsid w:val="00C26B06"/>
    <w:rsid w:val="00C30650"/>
    <w:rsid w:val="00C379FD"/>
    <w:rsid w:val="00C45486"/>
    <w:rsid w:val="00C470EA"/>
    <w:rsid w:val="00C518B0"/>
    <w:rsid w:val="00C60DCA"/>
    <w:rsid w:val="00C61B61"/>
    <w:rsid w:val="00C62744"/>
    <w:rsid w:val="00C632A2"/>
    <w:rsid w:val="00C72BE2"/>
    <w:rsid w:val="00C730DD"/>
    <w:rsid w:val="00C737EF"/>
    <w:rsid w:val="00C76D1B"/>
    <w:rsid w:val="00C827C4"/>
    <w:rsid w:val="00C8679C"/>
    <w:rsid w:val="00C9125E"/>
    <w:rsid w:val="00C91A1A"/>
    <w:rsid w:val="00C930CF"/>
    <w:rsid w:val="00C9517B"/>
    <w:rsid w:val="00C97262"/>
    <w:rsid w:val="00CA3CBC"/>
    <w:rsid w:val="00CA5202"/>
    <w:rsid w:val="00CA7812"/>
    <w:rsid w:val="00CB123B"/>
    <w:rsid w:val="00CD531A"/>
    <w:rsid w:val="00CD542E"/>
    <w:rsid w:val="00CD75C8"/>
    <w:rsid w:val="00CE1A2A"/>
    <w:rsid w:val="00CE5E68"/>
    <w:rsid w:val="00CF77E1"/>
    <w:rsid w:val="00D0126D"/>
    <w:rsid w:val="00D02699"/>
    <w:rsid w:val="00D050BD"/>
    <w:rsid w:val="00D118C3"/>
    <w:rsid w:val="00D14178"/>
    <w:rsid w:val="00D20553"/>
    <w:rsid w:val="00D221F4"/>
    <w:rsid w:val="00D22726"/>
    <w:rsid w:val="00D22E46"/>
    <w:rsid w:val="00D30F84"/>
    <w:rsid w:val="00D32398"/>
    <w:rsid w:val="00D37426"/>
    <w:rsid w:val="00D41B7D"/>
    <w:rsid w:val="00D4642D"/>
    <w:rsid w:val="00D47838"/>
    <w:rsid w:val="00D509B2"/>
    <w:rsid w:val="00D50D76"/>
    <w:rsid w:val="00D647C8"/>
    <w:rsid w:val="00D6483F"/>
    <w:rsid w:val="00D651E8"/>
    <w:rsid w:val="00D7323E"/>
    <w:rsid w:val="00D7504A"/>
    <w:rsid w:val="00D750B6"/>
    <w:rsid w:val="00D777AE"/>
    <w:rsid w:val="00D82FD2"/>
    <w:rsid w:val="00D8334D"/>
    <w:rsid w:val="00D95247"/>
    <w:rsid w:val="00D974BC"/>
    <w:rsid w:val="00D97723"/>
    <w:rsid w:val="00DB1764"/>
    <w:rsid w:val="00DB34C0"/>
    <w:rsid w:val="00DC13E3"/>
    <w:rsid w:val="00DC1F6F"/>
    <w:rsid w:val="00DC47C9"/>
    <w:rsid w:val="00DC5CE1"/>
    <w:rsid w:val="00DD66F5"/>
    <w:rsid w:val="00DF266A"/>
    <w:rsid w:val="00DF655C"/>
    <w:rsid w:val="00E14BAD"/>
    <w:rsid w:val="00E20358"/>
    <w:rsid w:val="00E216D3"/>
    <w:rsid w:val="00E347BD"/>
    <w:rsid w:val="00E34F3A"/>
    <w:rsid w:val="00E42D3F"/>
    <w:rsid w:val="00E439F3"/>
    <w:rsid w:val="00E443DF"/>
    <w:rsid w:val="00E65576"/>
    <w:rsid w:val="00E77CD1"/>
    <w:rsid w:val="00E90D1E"/>
    <w:rsid w:val="00E9122A"/>
    <w:rsid w:val="00EB1E08"/>
    <w:rsid w:val="00EB5096"/>
    <w:rsid w:val="00EC02F7"/>
    <w:rsid w:val="00EC1007"/>
    <w:rsid w:val="00EE0E02"/>
    <w:rsid w:val="00EE4E0D"/>
    <w:rsid w:val="00F07481"/>
    <w:rsid w:val="00F15171"/>
    <w:rsid w:val="00F1538D"/>
    <w:rsid w:val="00F20634"/>
    <w:rsid w:val="00F22D36"/>
    <w:rsid w:val="00F22EF7"/>
    <w:rsid w:val="00F4326F"/>
    <w:rsid w:val="00F57935"/>
    <w:rsid w:val="00F62724"/>
    <w:rsid w:val="00F722B2"/>
    <w:rsid w:val="00F74B5A"/>
    <w:rsid w:val="00F82F48"/>
    <w:rsid w:val="00F92C39"/>
    <w:rsid w:val="00FA666B"/>
    <w:rsid w:val="00FB354F"/>
    <w:rsid w:val="00FB6134"/>
    <w:rsid w:val="00FC1CA5"/>
    <w:rsid w:val="00FD48FB"/>
    <w:rsid w:val="00FD7FB4"/>
    <w:rsid w:val="00FE7D6E"/>
    <w:rsid w:val="00FF2D79"/>
    <w:rsid w:val="00FF6A9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6D38"/>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14623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7E6D38"/>
    <w:pPr>
      <w:keepNext/>
      <w:keepLines/>
      <w:overflowPunct/>
      <w:autoSpaceDE/>
      <w:autoSpaceDN/>
      <w:adjustRightInd/>
      <w:spacing w:before="200" w:line="276" w:lineRule="auto"/>
      <w:textAlignment w:val="auto"/>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7E6D3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E6D3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7E6D38"/>
    <w:rPr>
      <w:rFonts w:asciiTheme="majorHAnsi" w:eastAsiaTheme="majorEastAsia" w:hAnsiTheme="majorHAnsi" w:cstheme="majorBidi"/>
      <w:b/>
      <w:bCs/>
      <w:color w:val="4F81BD" w:themeColor="accent1"/>
      <w:sz w:val="20"/>
      <w:szCs w:val="20"/>
      <w:lang w:eastAsia="ru-RU"/>
    </w:rPr>
  </w:style>
  <w:style w:type="paragraph" w:styleId="a3">
    <w:name w:val="Balloon Text"/>
    <w:basedOn w:val="a"/>
    <w:link w:val="a4"/>
    <w:uiPriority w:val="99"/>
    <w:semiHidden/>
    <w:unhideWhenUsed/>
    <w:rsid w:val="007E6D38"/>
    <w:rPr>
      <w:rFonts w:ascii="Tahoma" w:hAnsi="Tahoma" w:cs="Tahoma"/>
      <w:sz w:val="16"/>
      <w:szCs w:val="16"/>
    </w:rPr>
  </w:style>
  <w:style w:type="character" w:customStyle="1" w:styleId="a4">
    <w:name w:val="Текст выноски Знак"/>
    <w:basedOn w:val="a0"/>
    <w:link w:val="a3"/>
    <w:uiPriority w:val="99"/>
    <w:semiHidden/>
    <w:rsid w:val="007E6D38"/>
    <w:rPr>
      <w:rFonts w:ascii="Tahoma" w:eastAsia="Times New Roman" w:hAnsi="Tahoma" w:cs="Tahoma"/>
      <w:sz w:val="16"/>
      <w:szCs w:val="16"/>
      <w:lang w:eastAsia="ru-RU"/>
    </w:rPr>
  </w:style>
  <w:style w:type="paragraph" w:customStyle="1" w:styleId="11">
    <w:name w:val="1 Диссертации"/>
    <w:basedOn w:val="a"/>
    <w:link w:val="12"/>
    <w:qFormat/>
    <w:rsid w:val="00C76D1B"/>
    <w:pPr>
      <w:widowControl w:val="0"/>
      <w:overflowPunct/>
      <w:spacing w:line="360" w:lineRule="auto"/>
      <w:ind w:firstLine="709"/>
      <w:jc w:val="both"/>
      <w:textAlignment w:val="auto"/>
    </w:pPr>
    <w:rPr>
      <w:sz w:val="28"/>
    </w:rPr>
  </w:style>
  <w:style w:type="character" w:customStyle="1" w:styleId="12">
    <w:name w:val="1 Диссертации Знак"/>
    <w:link w:val="11"/>
    <w:rsid w:val="00C76D1B"/>
    <w:rPr>
      <w:rFonts w:ascii="Times New Roman" w:eastAsia="Times New Roman" w:hAnsi="Times New Roman" w:cs="Times New Roman"/>
      <w:sz w:val="28"/>
      <w:szCs w:val="20"/>
      <w:lang w:eastAsia="ru-RU"/>
    </w:rPr>
  </w:style>
  <w:style w:type="paragraph" w:styleId="a5">
    <w:name w:val="Normal (Web)"/>
    <w:basedOn w:val="a"/>
    <w:uiPriority w:val="99"/>
    <w:semiHidden/>
    <w:unhideWhenUsed/>
    <w:rsid w:val="005D2836"/>
    <w:pPr>
      <w:overflowPunct/>
      <w:autoSpaceDE/>
      <w:autoSpaceDN/>
      <w:adjustRightInd/>
      <w:spacing w:before="100" w:beforeAutospacing="1" w:after="100" w:afterAutospacing="1"/>
      <w:textAlignment w:val="auto"/>
    </w:pPr>
    <w:rPr>
      <w:sz w:val="24"/>
      <w:szCs w:val="24"/>
    </w:rPr>
  </w:style>
  <w:style w:type="paragraph" w:styleId="a6">
    <w:name w:val="footer"/>
    <w:basedOn w:val="a"/>
    <w:link w:val="a7"/>
    <w:uiPriority w:val="99"/>
    <w:unhideWhenUsed/>
    <w:rsid w:val="00E14BAD"/>
    <w:pPr>
      <w:tabs>
        <w:tab w:val="center" w:pos="4677"/>
        <w:tab w:val="right" w:pos="9355"/>
      </w:tabs>
    </w:pPr>
  </w:style>
  <w:style w:type="character" w:customStyle="1" w:styleId="a7">
    <w:name w:val="Нижний колонтитул Знак"/>
    <w:basedOn w:val="a0"/>
    <w:link w:val="a6"/>
    <w:uiPriority w:val="99"/>
    <w:rsid w:val="00E14BAD"/>
    <w:rPr>
      <w:rFonts w:ascii="Times New Roman" w:eastAsia="Times New Roman" w:hAnsi="Times New Roman" w:cs="Times New Roman"/>
      <w:sz w:val="20"/>
      <w:szCs w:val="20"/>
      <w:lang w:eastAsia="ru-RU"/>
    </w:rPr>
  </w:style>
  <w:style w:type="paragraph" w:customStyle="1" w:styleId="a8">
    <w:name w:val="Текст в таблице"/>
    <w:basedOn w:val="a"/>
    <w:qFormat/>
    <w:rsid w:val="00E14BAD"/>
    <w:pPr>
      <w:framePr w:hSpace="181" w:wrap="around" w:vAnchor="text" w:hAnchor="margin" w:xAlign="center" w:y="1"/>
      <w:widowControl w:val="0"/>
      <w:overflowPunct/>
      <w:ind w:left="57" w:right="57"/>
      <w:jc w:val="center"/>
      <w:textAlignment w:val="auto"/>
    </w:pPr>
    <w:rPr>
      <w:rFonts w:ascii="Arial Narrow" w:hAnsi="Arial Narrow"/>
      <w:color w:val="000000"/>
    </w:rPr>
  </w:style>
  <w:style w:type="paragraph" w:styleId="a9">
    <w:name w:val="List Paragraph"/>
    <w:basedOn w:val="a"/>
    <w:uiPriority w:val="1"/>
    <w:qFormat/>
    <w:rsid w:val="008F2C7F"/>
    <w:pPr>
      <w:ind w:left="720"/>
      <w:contextualSpacing/>
    </w:pPr>
  </w:style>
  <w:style w:type="character" w:styleId="aa">
    <w:name w:val="Hyperlink"/>
    <w:basedOn w:val="a0"/>
    <w:uiPriority w:val="99"/>
    <w:unhideWhenUsed/>
    <w:rsid w:val="00D4642D"/>
    <w:rPr>
      <w:color w:val="0000FF" w:themeColor="hyperlink"/>
      <w:u w:val="single"/>
    </w:rPr>
  </w:style>
  <w:style w:type="character" w:styleId="ab">
    <w:name w:val="FollowedHyperlink"/>
    <w:basedOn w:val="a0"/>
    <w:uiPriority w:val="99"/>
    <w:semiHidden/>
    <w:unhideWhenUsed/>
    <w:rsid w:val="00FF6A95"/>
    <w:rPr>
      <w:color w:val="800080" w:themeColor="followedHyperlink"/>
      <w:u w:val="single"/>
    </w:rPr>
  </w:style>
  <w:style w:type="character" w:customStyle="1" w:styleId="10">
    <w:name w:val="Заголовок 1 Знак"/>
    <w:basedOn w:val="a0"/>
    <w:link w:val="1"/>
    <w:uiPriority w:val="9"/>
    <w:rsid w:val="00146234"/>
    <w:rPr>
      <w:rFonts w:asciiTheme="majorHAnsi" w:eastAsiaTheme="majorEastAsia" w:hAnsiTheme="majorHAnsi" w:cstheme="majorBidi"/>
      <w:b/>
      <w:bCs/>
      <w:color w:val="365F91" w:themeColor="accent1" w:themeShade="BF"/>
      <w:sz w:val="28"/>
      <w:szCs w:val="28"/>
      <w:lang w:eastAsia="ru-RU"/>
    </w:rPr>
  </w:style>
  <w:style w:type="paragraph" w:styleId="ac">
    <w:name w:val="Body Text Indent"/>
    <w:basedOn w:val="a"/>
    <w:link w:val="ad"/>
    <w:rsid w:val="00146234"/>
    <w:pPr>
      <w:overflowPunct/>
      <w:autoSpaceDE/>
      <w:autoSpaceDN/>
      <w:adjustRightInd/>
      <w:spacing w:after="120"/>
      <w:ind w:left="283"/>
      <w:textAlignment w:val="auto"/>
    </w:pPr>
    <w:rPr>
      <w:sz w:val="24"/>
      <w:szCs w:val="24"/>
    </w:rPr>
  </w:style>
  <w:style w:type="character" w:customStyle="1" w:styleId="ad">
    <w:name w:val="Основной текст с отступом Знак"/>
    <w:basedOn w:val="a0"/>
    <w:link w:val="ac"/>
    <w:rsid w:val="00146234"/>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035078"/>
    <w:pPr>
      <w:tabs>
        <w:tab w:val="center" w:pos="4677"/>
        <w:tab w:val="right" w:pos="9355"/>
      </w:tabs>
    </w:pPr>
  </w:style>
  <w:style w:type="character" w:customStyle="1" w:styleId="af">
    <w:name w:val="Верхний колонтитул Знак"/>
    <w:basedOn w:val="a0"/>
    <w:link w:val="ae"/>
    <w:uiPriority w:val="99"/>
    <w:rsid w:val="00035078"/>
    <w:rPr>
      <w:rFonts w:ascii="Times New Roman" w:eastAsia="Times New Roman" w:hAnsi="Times New Roman" w:cs="Times New Roman"/>
      <w:sz w:val="20"/>
      <w:szCs w:val="20"/>
      <w:lang w:eastAsia="ru-RU"/>
    </w:rPr>
  </w:style>
  <w:style w:type="paragraph" w:styleId="af0">
    <w:name w:val="Body Text"/>
    <w:basedOn w:val="a"/>
    <w:link w:val="af1"/>
    <w:uiPriority w:val="99"/>
    <w:unhideWhenUsed/>
    <w:rsid w:val="00B95AB3"/>
    <w:pPr>
      <w:spacing w:after="120"/>
    </w:pPr>
  </w:style>
  <w:style w:type="character" w:customStyle="1" w:styleId="af1">
    <w:name w:val="Основной текст Знак"/>
    <w:basedOn w:val="a0"/>
    <w:link w:val="af0"/>
    <w:uiPriority w:val="99"/>
    <w:rsid w:val="00B95AB3"/>
    <w:rPr>
      <w:rFonts w:ascii="Times New Roman" w:eastAsia="Times New Roman" w:hAnsi="Times New Roman" w:cs="Times New Roman"/>
      <w:sz w:val="20"/>
      <w:szCs w:val="20"/>
      <w:lang w:eastAsia="ru-RU"/>
    </w:rPr>
  </w:style>
  <w:style w:type="table" w:customStyle="1" w:styleId="TableNormal">
    <w:name w:val="Table Normal"/>
    <w:uiPriority w:val="2"/>
    <w:semiHidden/>
    <w:unhideWhenUsed/>
    <w:qFormat/>
    <w:rsid w:val="00697E3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697E3F"/>
    <w:pPr>
      <w:widowControl w:val="0"/>
      <w:overflowPunct/>
      <w:adjustRightInd/>
      <w:spacing w:line="232" w:lineRule="exact"/>
      <w:ind w:left="122"/>
      <w:textAlignment w:val="auto"/>
    </w:pPr>
    <w:rPr>
      <w:sz w:val="22"/>
      <w:szCs w:val="22"/>
      <w:lang w:val="en-US" w:eastAsia="en-US"/>
    </w:rPr>
  </w:style>
  <w:style w:type="table" w:styleId="af2">
    <w:name w:val="Table Grid"/>
    <w:basedOn w:val="a1"/>
    <w:uiPriority w:val="59"/>
    <w:rsid w:val="00A31CD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3">
    <w:name w:val="Placeholder Text"/>
    <w:basedOn w:val="a0"/>
    <w:uiPriority w:val="99"/>
    <w:semiHidden/>
    <w:rsid w:val="000801E0"/>
    <w:rPr>
      <w:color w:val="808080"/>
    </w:rPr>
  </w:style>
  <w:style w:type="paragraph" w:styleId="af4">
    <w:name w:val="Plain Text"/>
    <w:basedOn w:val="a"/>
    <w:link w:val="af5"/>
    <w:rsid w:val="00367AB1"/>
    <w:pPr>
      <w:overflowPunct/>
      <w:autoSpaceDE/>
      <w:autoSpaceDN/>
      <w:adjustRightInd/>
      <w:textAlignment w:val="auto"/>
    </w:pPr>
    <w:rPr>
      <w:rFonts w:ascii="Courier New" w:hAnsi="Courier New"/>
    </w:rPr>
  </w:style>
  <w:style w:type="character" w:customStyle="1" w:styleId="af5">
    <w:name w:val="Текст Знак"/>
    <w:basedOn w:val="a0"/>
    <w:link w:val="af4"/>
    <w:rsid w:val="00367AB1"/>
    <w:rPr>
      <w:rFonts w:ascii="Courier New" w:eastAsia="Times New Roman" w:hAnsi="Courier New" w:cs="Times New Roman"/>
      <w:sz w:val="20"/>
      <w:szCs w:val="20"/>
    </w:rPr>
  </w:style>
  <w:style w:type="paragraph" w:customStyle="1" w:styleId="Default">
    <w:name w:val="Default"/>
    <w:rsid w:val="00BE252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Normal">
    <w:name w:val="ConsPlusNormal"/>
    <w:rsid w:val="00BE252A"/>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838670">
      <w:bodyDiv w:val="1"/>
      <w:marLeft w:val="0"/>
      <w:marRight w:val="0"/>
      <w:marTop w:val="0"/>
      <w:marBottom w:val="0"/>
      <w:divBdr>
        <w:top w:val="none" w:sz="0" w:space="0" w:color="auto"/>
        <w:left w:val="none" w:sz="0" w:space="0" w:color="auto"/>
        <w:bottom w:val="none" w:sz="0" w:space="0" w:color="auto"/>
        <w:right w:val="none" w:sz="0" w:space="0" w:color="auto"/>
      </w:divBdr>
    </w:div>
    <w:div w:id="227108821">
      <w:bodyDiv w:val="1"/>
      <w:marLeft w:val="0"/>
      <w:marRight w:val="0"/>
      <w:marTop w:val="0"/>
      <w:marBottom w:val="0"/>
      <w:divBdr>
        <w:top w:val="none" w:sz="0" w:space="0" w:color="auto"/>
        <w:left w:val="none" w:sz="0" w:space="0" w:color="auto"/>
        <w:bottom w:val="none" w:sz="0" w:space="0" w:color="auto"/>
        <w:right w:val="none" w:sz="0" w:space="0" w:color="auto"/>
      </w:divBdr>
    </w:div>
    <w:div w:id="534657528">
      <w:bodyDiv w:val="1"/>
      <w:marLeft w:val="0"/>
      <w:marRight w:val="0"/>
      <w:marTop w:val="0"/>
      <w:marBottom w:val="0"/>
      <w:divBdr>
        <w:top w:val="none" w:sz="0" w:space="0" w:color="auto"/>
        <w:left w:val="none" w:sz="0" w:space="0" w:color="auto"/>
        <w:bottom w:val="none" w:sz="0" w:space="0" w:color="auto"/>
        <w:right w:val="none" w:sz="0" w:space="0" w:color="auto"/>
      </w:divBdr>
    </w:div>
    <w:div w:id="578901459">
      <w:bodyDiv w:val="1"/>
      <w:marLeft w:val="0"/>
      <w:marRight w:val="0"/>
      <w:marTop w:val="0"/>
      <w:marBottom w:val="0"/>
      <w:divBdr>
        <w:top w:val="none" w:sz="0" w:space="0" w:color="auto"/>
        <w:left w:val="none" w:sz="0" w:space="0" w:color="auto"/>
        <w:bottom w:val="none" w:sz="0" w:space="0" w:color="auto"/>
        <w:right w:val="none" w:sz="0" w:space="0" w:color="auto"/>
      </w:divBdr>
    </w:div>
    <w:div w:id="857889134">
      <w:bodyDiv w:val="1"/>
      <w:marLeft w:val="0"/>
      <w:marRight w:val="0"/>
      <w:marTop w:val="0"/>
      <w:marBottom w:val="0"/>
      <w:divBdr>
        <w:top w:val="none" w:sz="0" w:space="0" w:color="auto"/>
        <w:left w:val="none" w:sz="0" w:space="0" w:color="auto"/>
        <w:bottom w:val="none" w:sz="0" w:space="0" w:color="auto"/>
        <w:right w:val="none" w:sz="0" w:space="0" w:color="auto"/>
      </w:divBdr>
    </w:div>
    <w:div w:id="1015349441">
      <w:bodyDiv w:val="1"/>
      <w:marLeft w:val="0"/>
      <w:marRight w:val="0"/>
      <w:marTop w:val="0"/>
      <w:marBottom w:val="0"/>
      <w:divBdr>
        <w:top w:val="none" w:sz="0" w:space="0" w:color="auto"/>
        <w:left w:val="none" w:sz="0" w:space="0" w:color="auto"/>
        <w:bottom w:val="none" w:sz="0" w:space="0" w:color="auto"/>
        <w:right w:val="none" w:sz="0" w:space="0" w:color="auto"/>
      </w:divBdr>
    </w:div>
    <w:div w:id="1348560990">
      <w:bodyDiv w:val="1"/>
      <w:marLeft w:val="0"/>
      <w:marRight w:val="0"/>
      <w:marTop w:val="0"/>
      <w:marBottom w:val="0"/>
      <w:divBdr>
        <w:top w:val="none" w:sz="0" w:space="0" w:color="auto"/>
        <w:left w:val="none" w:sz="0" w:space="0" w:color="auto"/>
        <w:bottom w:val="none" w:sz="0" w:space="0" w:color="auto"/>
        <w:right w:val="none" w:sz="0" w:space="0" w:color="auto"/>
      </w:divBdr>
    </w:div>
    <w:div w:id="1434981597">
      <w:bodyDiv w:val="1"/>
      <w:marLeft w:val="0"/>
      <w:marRight w:val="0"/>
      <w:marTop w:val="0"/>
      <w:marBottom w:val="0"/>
      <w:divBdr>
        <w:top w:val="none" w:sz="0" w:space="0" w:color="auto"/>
        <w:left w:val="none" w:sz="0" w:space="0" w:color="auto"/>
        <w:bottom w:val="none" w:sz="0" w:space="0" w:color="auto"/>
        <w:right w:val="none" w:sz="0" w:space="0" w:color="auto"/>
      </w:divBdr>
    </w:div>
    <w:div w:id="1888100495">
      <w:bodyDiv w:val="1"/>
      <w:marLeft w:val="0"/>
      <w:marRight w:val="0"/>
      <w:marTop w:val="0"/>
      <w:marBottom w:val="0"/>
      <w:divBdr>
        <w:top w:val="none" w:sz="0" w:space="0" w:color="auto"/>
        <w:left w:val="none" w:sz="0" w:space="0" w:color="auto"/>
        <w:bottom w:val="none" w:sz="0" w:space="0" w:color="auto"/>
        <w:right w:val="none" w:sz="0" w:space="0" w:color="auto"/>
      </w:divBdr>
    </w:div>
    <w:div w:id="2144153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melnikov_vladimir94@mail.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elnikov_vladimir94@mail.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7FF6D-DE61-4A59-A859-DB9A57555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6</Pages>
  <Words>2458</Words>
  <Characters>14012</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16438</CharactersWithSpaces>
  <SharedDoc>false</SharedDoc>
  <HLinks>
    <vt:vector size="12" baseType="variant">
      <vt:variant>
        <vt:i4>2490449</vt:i4>
      </vt:variant>
      <vt:variant>
        <vt:i4>3</vt:i4>
      </vt:variant>
      <vt:variant>
        <vt:i4>0</vt:i4>
      </vt:variant>
      <vt:variant>
        <vt:i4>5</vt:i4>
      </vt:variant>
      <vt:variant>
        <vt:lpwstr/>
      </vt:variant>
      <vt:variant>
        <vt:lpwstr>_bookmark4</vt:lpwstr>
      </vt:variant>
      <vt:variant>
        <vt:i4>2162769</vt:i4>
      </vt:variant>
      <vt:variant>
        <vt:i4>0</vt:i4>
      </vt:variant>
      <vt:variant>
        <vt:i4>0</vt:i4>
      </vt:variant>
      <vt:variant>
        <vt:i4>5</vt:i4>
      </vt:variant>
      <vt:variant>
        <vt:lpwstr/>
      </vt:variant>
      <vt:variant>
        <vt:lpwstr>_bookmark3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Arhangel</dc:creator>
  <cp:lastModifiedBy>Admin</cp:lastModifiedBy>
  <cp:revision>13</cp:revision>
  <dcterms:created xsi:type="dcterms:W3CDTF">2018-09-13T09:06:00Z</dcterms:created>
  <dcterms:modified xsi:type="dcterms:W3CDTF">2018-09-18T10:24:00Z</dcterms:modified>
</cp:coreProperties>
</file>